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4306"/>
      </w:tblGrid>
      <w:tr w:rsidR="00C556E0" w14:paraId="292E5152" w14:textId="77777777"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F7F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44C0438F" w14:textId="77777777" w:rsidR="00993532" w:rsidRDefault="00993532" w:rsidP="00993532">
            <w:r w:rsidRPr="003132E8">
              <w:rPr>
                <w:rFonts w:ascii="Aptos Display" w:hAnsi="Aptos Display"/>
                <w:b/>
                <w:noProof/>
                <w:spacing w:val="-34"/>
                <w:sz w:val="80"/>
                <w:szCs w:val="80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72CD633" wp14:editId="0E2247AF">
                      <wp:simplePos x="0" y="0"/>
                      <wp:positionH relativeFrom="column">
                        <wp:posOffset>582168</wp:posOffset>
                      </wp:positionH>
                      <wp:positionV relativeFrom="paragraph">
                        <wp:posOffset>-77343</wp:posOffset>
                      </wp:positionV>
                      <wp:extent cx="252095" cy="252095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2520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7B9CC9" w14:textId="77777777" w:rsidR="00993532" w:rsidRPr="00F3345A" w:rsidRDefault="00993532" w:rsidP="00993532">
                                  <w:pPr>
                                    <w:rPr>
                                      <w:noProof/>
                                      <w:color w:val="FFFFFF" w:themeColor="background1"/>
                                      <w:lang w:val="en-US"/>
                                    </w:rPr>
                                  </w:pPr>
                                  <w:r w:rsidRPr="00F3345A">
                                    <w:rPr>
                                      <w:noProof/>
                                      <w:color w:val="FFFFFF" w:themeColor="background1"/>
                                      <w:lang w:val="en-US"/>
                                    </w:rPr>
                                    <w:t>®</w:t>
                                  </w:r>
                                  <w:r w:rsidRPr="00F3345A">
                                    <w:rPr>
                                      <w:noProof/>
                                      <w:color w:val="FFFFFF" w:themeColor="background1"/>
                                      <w:lang w:val="en-US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2CD6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5.85pt;margin-top:-6.1pt;width:19.85pt;height:19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" filled="f" stroked="f">
                      <v:textbox>
                        <w:txbxContent>
                          <w:p w14:paraId="217B9CC9" w14:textId="77777777" w:rsidR="00993532" w:rsidRPr="00F3345A" w:rsidRDefault="00993532" w:rsidP="00993532">
                            <w:pPr>
                              <w:rPr>
                                <w:noProof/>
                                <w:color w:val="FFFFFF" w:themeColor="background1"/>
                                <w:lang w:val="en-US"/>
                              </w:rPr>
                            </w:pPr>
                            <w:r w:rsidRPr="00F3345A">
                              <w:rPr>
                                <w:noProof/>
                                <w:color w:val="FFFFFF" w:themeColor="background1"/>
                                <w:lang w:val="en-US"/>
                              </w:rPr>
                              <w:t>®</w:t>
                            </w:r>
                            <w:r w:rsidRPr="00F3345A">
                              <w:rPr>
                                <w:noProof/>
                                <w:color w:val="FFFFFF" w:themeColor="background1"/>
                                <w:lang w:val="en-US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FFFFFF"/>
                <w:sz w:val="36"/>
                <w:szCs w:val="36"/>
              </w:rPr>
              <w:t xml:space="preserve">VOGO </w:t>
            </w:r>
            <w:r>
              <w:rPr>
                <w:rFonts w:ascii="Arial" w:eastAsia="Arial" w:hAnsi="Arial" w:cs="Arial"/>
                <w:b/>
                <w:bCs/>
                <w:color w:val="7EC8F5"/>
                <w:sz w:val="36"/>
                <w:szCs w:val="36"/>
              </w:rPr>
              <w:t>eBS</w:t>
            </w:r>
          </w:p>
          <w:p w14:paraId="2915E7F9" w14:textId="1EECA2C3" w:rsidR="00C556E0" w:rsidRDefault="00993532" w:rsidP="00993532">
            <w:r>
              <w:rPr>
                <w:rFonts w:ascii="Arial" w:eastAsia="Arial" w:hAnsi="Arial" w:cs="Arial"/>
                <w:color w:val="BFD4FF"/>
                <w:sz w:val="18"/>
                <w:szCs w:val="18"/>
              </w:rPr>
              <w:t>Enterprise Business Suite</w:t>
            </w:r>
          </w:p>
        </w:tc>
        <w:tc>
          <w:tcPr>
            <w:tcW w:w="43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0C0"/>
            <w:tcMar>
              <w:top w:w="200" w:type="dxa"/>
              <w:left w:w="240" w:type="dxa"/>
              <w:bottom w:w="200" w:type="dxa"/>
              <w:right w:w="240" w:type="dxa"/>
            </w:tcMar>
            <w:vAlign w:val="center"/>
          </w:tcPr>
          <w:p w14:paraId="48710244" w14:textId="7BB4C411" w:rsidR="00C556E0" w:rsidRDefault="000827F5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DATA SHEET</w:t>
            </w:r>
          </w:p>
          <w:p w14:paraId="3270B722" w14:textId="77777777" w:rsidR="00C556E0" w:rsidRDefault="00000000">
            <w:pPr>
              <w:jc w:val="right"/>
            </w:pPr>
            <w:r>
              <w:rPr>
                <w:rFonts w:ascii="Arial" w:eastAsia="Arial" w:hAnsi="Arial" w:cs="Arial"/>
                <w:color w:val="CCE5FF"/>
                <w:sz w:val="16"/>
                <w:szCs w:val="16"/>
              </w:rPr>
              <w:t>Modul: Service Desk — Asistență tehnică și ITSM</w:t>
            </w:r>
          </w:p>
        </w:tc>
      </w:tr>
    </w:tbl>
    <w:p w14:paraId="70F27294" w14:textId="77777777" w:rsidR="00C556E0" w:rsidRDefault="00C556E0">
      <w:pPr>
        <w:spacing w:after="100"/>
      </w:pP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1. Prezentare generală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Modulul VOGO eBS Service Desk este soluția de asistență tehnică (help-desk) prin care se preiau, se înregistrează și se urmăresc toate sesizările privind funcționarea anormală a sistemului informatic — incidente, cereri de suport, probleme și schimbări — cu separarea datelor pe tipuri și cu SLA asumat în timp. Este ITIL Ready.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VOGO eBS Service Desk este un produs comercial integrat, dezvoltat, licențiat și susținut de VOGO Technology: portalul de autoservire, gestiunea incidentelor, a problemelor și a schimbărilor, CMDB, catalogul de servicii, baza de cunoștințe, motorul de reguli și SLA, rapoartele, aplicațiile mobile și consola funcționează ca un singur produs, cu o singură licență și un singur contract de suport. Produsul folosește ca bibliotecă open source matură: Znuny ITSM.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Obiective:</w:t>
      </w:r>
      <w:r w:rsidRPr="005D122B">
        <w:rPr>
          <w:rFonts w:ascii="Arial" w:eastAsia="Arial" w:hAnsi="Arial" w:cs="Arial"/>
          <w:color w:val="444444"/>
        </w:rPr>
        <w:t xml:space="preserve"> reducerea perioadelor de nefuncționare a componentelor, sistemelor, aplicațiilor și serviciilor; creșterea vitezei de intervenție a personalului IT; suport în prioritizarea corectă a rezolvării incidentelor; monitorizarea timpilor de intervenție și a modului în care se respectă contractele de service și suport.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Canale:</w:t>
      </w:r>
      <w:r w:rsidRPr="005D122B">
        <w:rPr>
          <w:rFonts w:ascii="Arial" w:eastAsia="Arial" w:hAnsi="Arial" w:cs="Arial"/>
          <w:color w:val="444444"/>
        </w:rPr>
        <w:t xml:space="preserve"> incidentele se preiau telefonic, prin email și prin interfețele platformei (portal web, aplicații mobile).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2. Arhitectură, instalare și licențiere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Modulul VOGO eBS Service Desk se instalează în infrastructura beneficiarului; datele lui se păstrează în baza de date PostgreSQL a organizației. Sistemul de operare recomandat pentru serverul de aplicație: Red Hat Enterprise Linux 9 (Linux de tip enterprise pe 64 de biți).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/>
      </w:r>
      <w:r w:rsidRPr="005D122B">
        <w:rPr>
          <w:rFonts w:ascii="Arial" w:eastAsia="Arial" w:hAnsi="Arial" w:cs="Arial"/>
          <w:color w:val="444444"/>
        </w:rPr>
        <w:t xml:space="preserve">Acces bazat pe interfață web, pentru tehnicieni, aprobatori și utilizatori finali.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Bază de date:</w:t>
      </w:r>
      <w:r w:rsidRPr="005D122B">
        <w:rPr>
          <w:rFonts w:ascii="Arial" w:eastAsia="Arial" w:hAnsi="Arial" w:cs="Arial"/>
          <w:color w:val="444444"/>
        </w:rPr>
        <w:t xml:space="preserve"> PostgreSQL, în SGBD-ul organizației; produsul nu introduce un motor de baze de date propriu; conexiunea la baza de date este criptată TLS.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Licențiere:</w:t>
      </w:r>
      <w:r w:rsidRPr="005D122B">
        <w:rPr>
          <w:rFonts w:ascii="Arial" w:eastAsia="Arial" w:hAnsi="Arial" w:cs="Arial"/>
          <w:color w:val="444444"/>
        </w:rPr>
        <w:t xml:space="preserve"> perpetuă sau pe subscripție, pe numărul de utilizatori care înregistrează incidente (de exemplu 5.500) și pe analiști concurenți (de exemplu 10) care lucrează simultan la rezolvarea tichetelor; licența acoperă instanța restaurată în centrul de date de rezervă, pe durata funcționării acolo, fără cost suplimentar.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Configurare:</w:t>
      </w:r>
      <w:r w:rsidRPr="005D122B">
        <w:rPr>
          <w:rFonts w:ascii="Arial" w:eastAsia="Arial" w:hAnsi="Arial" w:cs="Arial"/>
          <w:color w:val="444444"/>
        </w:rPr>
        <w:t xml:space="preserve"> configurare bazată pe fluxuri predefinite (configuration wizard), câmpuri de urmărire personalizate, teme și afișare bazată pe localizare (inclusiv limba română).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Arhivare date:</w:t>
      </w:r>
      <w:r w:rsidRPr="005D122B">
        <w:rPr>
          <w:rFonts w:ascii="Arial" w:eastAsia="Arial" w:hAnsi="Arial" w:cs="Arial"/>
          <w:color w:val="444444"/>
        </w:rPr>
        <w:t xml:space="preserve"> tichetele închise mai vechi decât pragul de retenție se mută în arhivă, consultabile în citire.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3. Incidente și cereri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Modulul VOGO eBS Service Desk oferă fluxuri pentru înregistrarea incidentelor, pentru escaladare, preluare și rezolvare și pentru notificarea utilizatorilor.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/>
      </w:r>
      <w:r w:rsidRPr="005D122B">
        <w:rPr>
          <w:rFonts w:ascii="Arial" w:eastAsia="Arial" w:hAnsi="Arial" w:cs="Arial"/>
          <w:color w:val="444444"/>
        </w:rPr>
        <w:t xml:space="preserve">Depozit central pentru stocarea și urmărirea situațiilor; generare automată de tichete; afișarea pe monitor către utilizatori a situațiilor importante.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Modalități de generare a cererilor:</w:t>
      </w:r>
      <w:r w:rsidRPr="005D122B">
        <w:rPr>
          <w:rFonts w:ascii="Arial" w:eastAsia="Arial" w:hAnsi="Arial" w:cs="Arial"/>
          <w:color w:val="444444"/>
        </w:rPr>
        <w:t xml:space="preserve"> portal, email (email parser, crearea tichetelor din mesajele primite, legarea unui incident de un email — Mailbox Management), telefon, aplicații mobile, SMS și API.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/>
      </w:r>
      <w:r w:rsidRPr="005D122B">
        <w:rPr>
          <w:rFonts w:ascii="Arial" w:eastAsia="Arial" w:hAnsi="Arial" w:cs="Arial"/>
          <w:color w:val="444444"/>
        </w:rPr>
        <w:t xml:space="preserve">Clasificarea incidentelor și înregistrarea cererilor de service; clasificarea cererilor bazată pe categorii; impact, urgență, prioritate, matrice de prioritate și stare (de exemplu Open, On hold, Closed); priorități și severități comunicate odată cu cererea.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Rutare:</w:t>
      </w:r>
      <w:r w:rsidRPr="005D122B">
        <w:rPr>
          <w:rFonts w:ascii="Arial" w:eastAsia="Arial" w:hAnsi="Arial" w:cs="Arial"/>
          <w:color w:val="444444"/>
        </w:rPr>
        <w:t xml:space="preserve"> clasificarea și rutarea automată a mesajelor și a cererilor bazate pe grupuri de lucru; redirectarea cererilor în mod automat și manual; gestionarea eficientă a tehnicienilor bazată pe cozi de suport; liste de ordine pentru distribuirea tehnicienilor de service și mentenanță.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Cereri:</w:t>
      </w:r>
      <w:r w:rsidRPr="005D122B">
        <w:rPr>
          <w:rFonts w:ascii="Arial" w:eastAsia="Arial" w:hAnsi="Arial" w:cs="Arial"/>
          <w:color w:val="444444"/>
        </w:rPr>
        <w:t xml:space="preserve"> forma cererilor personalizabilă; editor de text avansat cu atașamente (WYSIWYG); atașarea documentelor la o cerere; programarea cererilor; calendar pentru tehnicieni; activități multiple pentru o cerere și tratarea activităților dependente; template-uri de incidente.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Gestionare în grup:</w:t>
      </w:r>
      <w:r w:rsidRPr="005D122B">
        <w:rPr>
          <w:rFonts w:ascii="Arial" w:eastAsia="Arial" w:hAnsi="Arial" w:cs="Arial"/>
          <w:color w:val="444444"/>
        </w:rPr>
        <w:t xml:space="preserve"> gestionarea, editarea, asignarea și închiderea grupurilor de tichete; posibilitatea de a lega sau uni tichete; reguli de închidere a cererilor.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Email:</w:t>
      </w:r>
      <w:r w:rsidRPr="005D122B">
        <w:rPr>
          <w:rFonts w:ascii="Arial" w:eastAsia="Arial" w:hAnsi="Arial" w:cs="Arial"/>
          <w:color w:val="444444"/>
        </w:rPr>
        <w:t xml:space="preserve"> recepționarea și transmiterea mesajelor email din aplicație, Email Spam Filter &amp; Email Notification Filter; răspunsurile automate se recunosc după antetul Auto-Submitted (RFC 3834) și nu deschid tichete.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Interfață:</w:t>
      </w:r>
      <w:r w:rsidRPr="005D122B">
        <w:rPr>
          <w:rFonts w:ascii="Arial" w:eastAsia="Arial" w:hAnsi="Arial" w:cs="Arial"/>
          <w:color w:val="444444"/>
        </w:rPr>
        <w:t xml:space="preserve"> acces bazat pe roluri pentru tehnicieni; accesare rapidă și istoric de acces la nivel de interfață.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4. SLA, reguli de business și escaladare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Modulul VOGO eBS Service Desk are capabilități integrate de gestionare a cerințelor de SLA ale tuturor componentelor sistemului.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SLA asumat în timp:</w:t>
      </w:r>
      <w:r w:rsidRPr="005D122B">
        <w:rPr>
          <w:rFonts w:ascii="Arial" w:eastAsia="Arial" w:hAnsi="Arial" w:cs="Arial"/>
          <w:color w:val="444444"/>
        </w:rPr>
        <w:t xml:space="preserve"> termene de răspuns și de rezolvare pe serviciu, cu calendare de lucru; fiecare tichet are trei ceasuri — timpul de răspuns, timpul până la soluția provizorie și timpul de remediere —, cu valori pe niveluri de severitate.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Escaladare:</w:t>
      </w:r>
      <w:r w:rsidRPr="005D122B">
        <w:rPr>
          <w:rFonts w:ascii="Arial" w:eastAsia="Arial" w:hAnsi="Arial" w:cs="Arial"/>
          <w:color w:val="444444"/>
        </w:rPr>
        <w:t xml:space="preserve"> nivele diferite de escaladare configurate pe fiecare SLA; escaladări automate pe timpul perioadei de escaladare; notificare înainte de expirarea SLA.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Reguli de business:</w:t>
      </w:r>
      <w:r w:rsidRPr="005D122B">
        <w:rPr>
          <w:rFonts w:ascii="Arial" w:eastAsia="Arial" w:hAnsi="Arial" w:cs="Arial"/>
          <w:color w:val="444444"/>
        </w:rPr>
        <w:t xml:space="preserve"> escaladarea automată a cererilor bazată pe reguli de business; mesaj email activat la apariția unui eveniment prevăzut într-o regulă; aplicarea unei reguli după editarea unei cereri; continuarea cu o sub-regulă după ce a fost găsită o regulă.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5. Catalog de servicii și portal self-service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Modulul VOGO eBS Service Desk publică un catalog de servicii (Service Catalogs) și un portal self-service de tip web-based, inclus în aplicație.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Catalog:</w:t>
      </w:r>
      <w:r w:rsidRPr="005D122B">
        <w:rPr>
          <w:rFonts w:ascii="Arial" w:eastAsia="Arial" w:hAnsi="Arial" w:cs="Arial"/>
          <w:color w:val="444444"/>
        </w:rPr>
        <w:t xml:space="preserve"> afișarea serviciilor disponibile; adăugarea de categorii de servicii, resurse și servicii; template-uri pentru cereri de service, cu asocierea mai multor activități dependente la un template; fluxuri de lucru pre-configurate; proces de aprobare în mai multe faze.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Portal:</w:t>
      </w:r>
      <w:r w:rsidRPr="005D122B">
        <w:rPr>
          <w:rFonts w:ascii="Arial" w:eastAsia="Arial" w:hAnsi="Arial" w:cs="Arial"/>
          <w:color w:val="444444"/>
        </w:rPr>
        <w:t xml:space="preserve"> crearea cererilor pentru utilizatorii finali; verificarea și actualizarea stării unei cereri existente; actualizarea detaliilor aferente contactelor; căutare în baza de cunoștințe pentru utilizatori; acces la secțiunea Frequently Asked Questions (FAQs); acțiuni de aprobare.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6. Baza de cunoștințe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Modulul VOGO eBS Service Desk înregistrează modalitățile de rezolvare a incidentelor frecvente, astfel încât un incident similar primește un răspuns prompt, fără pașii de re-diagnosticare.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Funcții:</w:t>
      </w:r>
      <w:r w:rsidRPr="005D122B">
        <w:rPr>
          <w:rFonts w:ascii="Arial" w:eastAsia="Arial" w:hAnsi="Arial" w:cs="Arial"/>
          <w:color w:val="444444"/>
        </w:rPr>
        <w:t xml:space="preserve"> înregistrare, modificare, căutare, vizualizare; editor de text integrat.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Căutare:</w:t>
      </w:r>
      <w:r w:rsidRPr="005D122B">
        <w:rPr>
          <w:rFonts w:ascii="Arial" w:eastAsia="Arial" w:hAnsi="Arial" w:cs="Arial"/>
          <w:color w:val="444444"/>
        </w:rPr>
        <w:t xml:space="preserve"> după cele mai frecvente întrebări (FAQs) și prin metoda arbore de decizie; cuvinte cheie pentru găsirea soluțiilor pe baza informațiilor din cerere; indexarea căutărilor de documente; păstrarea istoricului de căutări.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Tehnicieni:</w:t>
      </w:r>
      <w:r w:rsidRPr="005D122B">
        <w:rPr>
          <w:rFonts w:ascii="Arial" w:eastAsia="Arial" w:hAnsi="Arial" w:cs="Arial"/>
          <w:color w:val="444444"/>
        </w:rPr>
        <w:t xml:space="preserve"> acces la gestionarea bazei de cunoștințe; adăugarea soluțiilor după aprobare.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7. Probleme și schimbări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Modulul VOGO eBS Service Desk acoperă gestionarea problemelor (Problem Management) și a schimbărilor (Change Management).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Probleme:</w:t>
      </w:r>
      <w:r w:rsidRPr="005D122B">
        <w:rPr>
          <w:rFonts w:ascii="Arial" w:eastAsia="Arial" w:hAnsi="Arial" w:cs="Arial"/>
          <w:color w:val="444444"/>
        </w:rPr>
        <w:t xml:space="preserve"> detectarea și clasificarea problemelor; inițierea unei probleme noi dintr-un incident sau înregistrarea directă; asocierea unor incidente multiple într-o singură problemă; prioritizare; informații legate de cauze inițiale și impact; soluții temporare, soluții și erori cunoscute; închiderea problemelor.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Schimbări:</w:t>
      </w:r>
      <w:r w:rsidRPr="005D122B">
        <w:rPr>
          <w:rFonts w:ascii="Arial" w:eastAsia="Arial" w:hAnsi="Arial" w:cs="Arial"/>
          <w:color w:val="444444"/>
        </w:rPr>
        <w:t xml:space="preserve"> înregistrarea cererilor de schimbare și inițierea lor din incidente sau probleme; asocierea mai multor incidente sau probleme la o schimbare; comitetul de aprobare a schimbărilor (Change Advisory Boards — CABs) și trimiterea spre aprobare către membrii CAB; analiza impactului, cauze, simptome; soluții permanente și temporare; coordonarea implementării schimbării; trimiterea spre reverificare; anunțuri către tehnicieni și utilizatori finali.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Project Management:</w:t>
      </w:r>
      <w:r w:rsidRPr="005D122B">
        <w:rPr>
          <w:rFonts w:ascii="Arial" w:eastAsia="Arial" w:hAnsi="Arial" w:cs="Arial"/>
          <w:color w:val="444444"/>
        </w:rPr>
        <w:t xml:space="preserve"> activitățile care depășesc un singur tichet se grupează în proiecte, cu sarcini, responsabili, termene, dependențe și stadiul de realizare.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8. CMDB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Modulul VOGO eBS Service Desk include baza de date integrată a configurației (CMDB – Configuration Management Database).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/>
      </w:r>
      <w:r w:rsidRPr="005D122B">
        <w:rPr>
          <w:rFonts w:ascii="Arial" w:eastAsia="Arial" w:hAnsi="Arial" w:cs="Arial"/>
          <w:color w:val="444444"/>
        </w:rPr>
        <w:t xml:space="preserve">Elemente de configurație pe clase (servere, software, rețea, locații), cu starea de implementare și starea de incident.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/>
      </w:r>
      <w:r w:rsidRPr="005D122B">
        <w:rPr>
          <w:rFonts w:ascii="Arial" w:eastAsia="Arial" w:hAnsi="Arial" w:cs="Arial"/>
          <w:color w:val="444444"/>
        </w:rPr>
        <w:t xml:space="preserve">Legături între elemente, servicii, incidente, probleme și schimbări; elementele afectate se văd în tichet.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9. Rapoarte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Modulul VOGO eBS Service Desk are rapoarte standard pre-definite și unelte de raportare proprie.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/>
      </w:r>
      <w:r w:rsidRPr="005D122B">
        <w:rPr>
          <w:rFonts w:ascii="Arial" w:eastAsia="Arial" w:hAnsi="Arial" w:cs="Arial"/>
          <w:color w:val="444444"/>
        </w:rPr>
        <w:t xml:space="preserve">Rapoarte personificate în format tabelar; unealtă de creare a interogărilor (Query Builder); integrare cu aplicații de raportare profesionale.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/>
      </w:r>
      <w:r w:rsidRPr="005D122B">
        <w:rPr>
          <w:rFonts w:ascii="Arial" w:eastAsia="Arial" w:hAnsi="Arial" w:cs="Arial"/>
          <w:color w:val="444444"/>
        </w:rPr>
        <w:t xml:space="preserve">Salvare rapoarte în format .csv, .xls și PDF; generarea și distribuirea automată (Reports Scheduler); salvarea și programarea rapoartelor customizate.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/>
      </w:r>
      <w:r w:rsidRPr="005D122B">
        <w:rPr>
          <w:rFonts w:ascii="Arial" w:eastAsia="Arial" w:hAnsi="Arial" w:cs="Arial"/>
          <w:color w:val="444444"/>
        </w:rPr>
        <w:t xml:space="preserve">Analiza evoluției și a performanțelor; actualizarea în timp real a rapoartelor.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10. Integrare și mobilitate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Modulul VOGO eBS Service Desk se integrează cu serviciile organizației și cu celelalte componente ale sistemului.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/>
      </w:r>
      <w:r w:rsidRPr="005D122B">
        <w:rPr>
          <w:rFonts w:ascii="Arial" w:eastAsia="Arial" w:hAnsi="Arial" w:cs="Arial"/>
          <w:color w:val="444444"/>
        </w:rPr>
        <w:t xml:space="preserve">Integrare cu LDAP și LDAPS; integrare cu sisteme de email (SMTP cu STARTTLS, IMAPS) și SMS (gateway HTTPS), cu recepționarea și transmiterea mesajelor SMS din aplicație.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Aplicații pentru dispozitive iPhone și Android:</w:t>
      </w:r>
      <w:r w:rsidRPr="005D122B">
        <w:rPr>
          <w:rFonts w:ascii="Arial" w:eastAsia="Arial" w:hAnsi="Arial" w:cs="Arial"/>
          <w:color w:val="444444"/>
        </w:rPr>
        <w:t xml:space="preserve"> tichete, aprobări, notificări push și baza de cunoștințe.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/>
      </w:r>
      <w:r w:rsidRPr="005D122B">
        <w:rPr>
          <w:rFonts w:ascii="Arial" w:eastAsia="Arial" w:hAnsi="Arial" w:cs="Arial"/>
          <w:color w:val="444444"/>
        </w:rPr>
        <w:t xml:space="preserve">Interfață de integrare cu date externe; utilizarea serviciilor web; module API (REST); webhook-uri către sisteme externe; instrumentele de raportare externe citesc datele prin API-ul REST sau printr-un cont de citire pe schemă.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11. Suport și servicii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Modulul VOGO eBS Service Desk este susținut de VOGO pe toată durata contractului.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Suport:</w:t>
      </w:r>
      <w:r w:rsidRPr="005D122B">
        <w:rPr>
          <w:rFonts w:ascii="Arial" w:eastAsia="Arial" w:hAnsi="Arial" w:cs="Arial"/>
          <w:color w:val="444444"/>
        </w:rPr>
        <w:t xml:space="preserve"> actualizări și patch-uri de securitate ale produsului.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Instalare și configurare:</w:t>
      </w:r>
      <w:r w:rsidRPr="005D122B">
        <w:rPr>
          <w:rFonts w:ascii="Arial" w:eastAsia="Arial" w:hAnsi="Arial" w:cs="Arial"/>
          <w:color w:val="444444"/>
        </w:rPr>
        <w:t xml:space="preserve"> prin VOGO sau prin partenerii certificați VOGO.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12. Kanbanul VOGO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Kanbanul VOGO este tabla de tichete a echipei de suport, inclusă în VOGO eBS Service Desk. Fiecare tichet trece prin patru coloane — Backlog, De făcut, În lucru și Gata — și se deschide, ca în Jira, într-o fișă cu tot ce s-a lucrat pe el.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Coloanele:</w:t>
      </w:r>
      <w:r w:rsidRPr="005D122B">
        <w:rPr>
          <w:rFonts w:ascii="Arial" w:eastAsia="Arial" w:hAnsi="Arial" w:cs="Arial"/>
          <w:color w:val="444444"/>
        </w:rPr>
        <w:t xml:space="preserve"> Backlog pentru tichetele înregistrate și încă neprogramate, De făcut pentru cele programate, În lucru și Gata; tichetul se mută dintr-o coloană în alta, iar data închiderii se completează singură la trecerea în Gata.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Fișa tichetului:</w:t>
      </w:r>
      <w:r w:rsidRPr="005D122B">
        <w:rPr>
          <w:rFonts w:ascii="Arial" w:eastAsia="Arial" w:hAnsi="Arial" w:cs="Arial"/>
          <w:color w:val="444444"/>
        </w:rPr>
        <w:t xml:space="preserve"> titlul, descrierea, starea, prioritatea pe cinci niveluri — de la Cea mai mare la Cea mai mică —, proiectul, categoria, tag-urile, responsabilul și termenul.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Categorii și tag-uri:</w:t>
      </w:r>
      <w:r w:rsidRPr="005D122B">
        <w:rPr>
          <w:rFonts w:ascii="Arial" w:eastAsia="Arial" w:hAnsi="Arial" w:cs="Arial"/>
          <w:color w:val="444444"/>
        </w:rPr>
        <w:t xml:space="preserve"> tipurile de tichet ale organizației — incident, cerere de serviciu, problemă, schimbare, acces și conturi — și etichetele libere se adaugă direct din fișă și se refolosesc la tichetele următoare.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Termene:</w:t>
      </w:r>
      <w:r w:rsidRPr="005D122B">
        <w:rPr>
          <w:rFonts w:ascii="Arial" w:eastAsia="Arial" w:hAnsi="Arial" w:cs="Arial"/>
          <w:color w:val="444444"/>
        </w:rPr>
        <w:t xml:space="preserve"> tichetul deschis cu termenul depășit este marcat pe tablă, ca întârzierile să se vadă dintr-o privire.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Activitate:</w:t>
      </w:r>
      <w:r w:rsidRPr="005D122B">
        <w:rPr>
          <w:rFonts w:ascii="Arial" w:eastAsia="Arial" w:hAnsi="Arial" w:cs="Arial"/>
          <w:color w:val="444444"/>
        </w:rPr>
        <w:t xml:space="preserve"> comentariile echipei și istoricul fiecărei modificări, cu autorul și ora; un câmp neschimbat nu lasă istoric.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Reamintiri:</w:t>
      </w:r>
      <w:r w:rsidRPr="005D122B">
        <w:rPr>
          <w:rFonts w:ascii="Arial" w:eastAsia="Arial" w:hAnsi="Arial" w:cs="Arial"/>
          <w:color w:val="444444"/>
        </w:rPr>
        <w:t xml:space="preserve"> pe fiecare tichet, una sau mai multe reamintiri cu data, ora României și o notă, trimise pe canalele bifate — notificare pe telefon, e-mail, cu adrese în copie, și WhatsApp; reamintirea rămâne Programată până la trimitere, se poate anula, iar pentru un tichet ajuns în Gata nu se mai trimite.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Notificări pe telefon:</w:t>
      </w:r>
      <w:r w:rsidRPr="005D122B">
        <w:rPr>
          <w:rFonts w:ascii="Arial" w:eastAsia="Arial" w:hAnsi="Arial" w:cs="Arial"/>
          <w:color w:val="444444"/>
        </w:rPr>
        <w:t xml:space="preserve"> se activează o singură dată pe fiecare dispozitiv, din butonul de deasupra tablei; reamintirile sosesc apoi ca notificări push.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Atașamente:</w:t>
      </w:r>
      <w:r w:rsidRPr="005D122B">
        <w:rPr>
          <w:rFonts w:ascii="Arial" w:eastAsia="Arial" w:hAnsi="Arial" w:cs="Arial"/>
          <w:color w:val="444444"/>
        </w:rPr>
        <w:t xml:space="preserve"> jurnale, capturi și documente atașate la tichet, fiecare cu nota lui.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Cambria Math" w:hAnsi="Cambria Math" w:cs="Cambria Math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Asistentul AI al tablei:</w:t>
      </w:r>
      <w:r w:rsidRPr="005D122B">
        <w:rPr>
          <w:rFonts w:ascii="Arial" w:eastAsia="Arial" w:hAnsi="Arial" w:cs="Arial"/>
          <w:color w:val="444444"/>
        </w:rPr>
        <w:t xml:space="preserve"> răspunde la întrebări despre tichetele de făcut, în lucru sau întârziate și adaugă tichete noi dintr-o comandă scrisă.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13. Capturi de ecran din VOGO eBS Service Desk Console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Capturile de mai jos sunt făcute în VOGO eBS Service Desk Console, pe date reale.</w:t>
      </w:r>
    </w:p>
    <w:p w:rsidR="00C556E0" w:rsidRDefault="000267C0">
      <w:pPr>
        <w:spacing w:before="120" w:after="60"/>
        <w:jc w:val="center"/>
      </w:pPr>
      <w:r>
        <w:rPr>
          <w:noProof/>
        </w:rPr>
        <w:drawing>
          <wp:inline distT="0" distB="0" distL="0" distR="0" wp14:anchorId="60160D02" wp14:editId="26BBFCCC">
            <wp:extent cx="6000000" cy="3750000"/>
            <wp:effectExtent l="19050" t="19050" r="8890" b="13970"/>
            <wp:docPr id="5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1" name=""/>
                    <pic:cNvPicPr/>
                  </pic:nvPicPr>
                  <pic:blipFill>
                    <a:blip r:embed="rIdShot1"/>
                    <a:stretch>
                      <a:fillRect/>
                    </a:stretch>
                  </pic:blipFill>
                  <pic:spPr>
                    <a:xfrm>
                      <a:off x="0" y="0"/>
                      <a:ext cx="6000000" cy="375000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556E0" w:rsidRDefault="00000000">
      <w:pPr>
        <w:spacing w:before="60" w:after="200"/>
        <w:jc w:val="center"/>
      </w:pPr>
      <w:r>
        <w:rPr>
          <w:rFonts w:ascii="Arial" w:eastAsia="Arial" w:hAnsi="Arial" w:cs="Arial"/>
          <w:i/>
          <w:iCs/>
          <w:color w:val="0070C0"/>
          <w:sz w:val="18"/>
          <w:szCs w:val="18"/>
        </w:rPr>
        <w:t xml:space="preserve">Fig. 1 VOGO eBS Service Desk Console: indicatorii și tichetele deschise, ordonate după termenul SLA</w:t>
      </w:r>
    </w:p>
    <w:p w:rsidR="00C556E0" w:rsidRDefault="000267C0">
      <w:pPr>
        <w:spacing w:before="120" w:after="60"/>
        <w:jc w:val="center"/>
      </w:pPr>
      <w:r>
        <w:rPr>
          <w:noProof/>
        </w:rPr>
        <w:drawing>
          <wp:inline distT="0" distB="0" distL="0" distR="0" wp14:anchorId="60160D02" wp14:editId="26BBFCCC">
            <wp:extent cx="6000000" cy="3004983"/>
            <wp:effectExtent l="19050" t="19050" r="8890" b="13970"/>
            <wp:docPr id="5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2" name=""/>
                    <pic:cNvPicPr/>
                  </pic:nvPicPr>
                  <pic:blipFill>
                    <a:blip r:embed="rIdShot2"/>
                    <a:stretch>
                      <a:fillRect/>
                    </a:stretch>
                  </pic:blipFill>
                  <pic:spPr>
                    <a:xfrm>
                      <a:off x="0" y="0"/>
                      <a:ext cx="6000000" cy="3004983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556E0" w:rsidRDefault="00000000">
      <w:pPr>
        <w:spacing w:before="60" w:after="200"/>
        <w:jc w:val="center"/>
      </w:pPr>
      <w:r>
        <w:rPr>
          <w:rFonts w:ascii="Arial" w:eastAsia="Arial" w:hAnsi="Arial" w:cs="Arial"/>
          <w:i/>
          <w:iCs/>
          <w:color w:val="0070C0"/>
          <w:sz w:val="18"/>
          <w:szCs w:val="18"/>
        </w:rPr>
        <w:t xml:space="preserve">Fig. 2 Tichete deschise cu tipul, prioritatea, serviciul, tehnicianul, termenul SLA și timpul rămas</w:t>
      </w:r>
    </w:p>
    <w:p w:rsidR="00C556E0" w:rsidRDefault="000267C0">
      <w:pPr>
        <w:spacing w:before="120" w:after="60"/>
        <w:jc w:val="center"/>
      </w:pPr>
      <w:r>
        <w:rPr>
          <w:noProof/>
        </w:rPr>
        <w:drawing>
          <wp:inline distT="0" distB="0" distL="0" distR="0" wp14:anchorId="60160D02" wp14:editId="26BBFCCC">
            <wp:extent cx="6000000" cy="548172"/>
            <wp:effectExtent l="19050" t="19050" r="8890" b="13970"/>
            <wp:docPr id="5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3" name=""/>
                    <pic:cNvPicPr/>
                  </pic:nvPicPr>
                  <pic:blipFill>
                    <a:blip r:embed="rIdShot3"/>
                    <a:stretch>
                      <a:fillRect/>
                    </a:stretch>
                  </pic:blipFill>
                  <pic:spPr>
                    <a:xfrm>
                      <a:off x="0" y="0"/>
                      <a:ext cx="6000000" cy="548172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556E0" w:rsidRDefault="00000000">
      <w:pPr>
        <w:spacing w:before="60" w:after="200"/>
        <w:jc w:val="center"/>
      </w:pPr>
      <w:r>
        <w:rPr>
          <w:rFonts w:ascii="Arial" w:eastAsia="Arial" w:hAnsi="Arial" w:cs="Arial"/>
          <w:i/>
          <w:iCs/>
          <w:color w:val="0070C0"/>
          <w:sz w:val="18"/>
          <w:szCs w:val="18"/>
        </w:rPr>
        <w:t xml:space="preserve">Fig. 3 Încărcarea pe servicii și pe tehnicieni, problema cu incidentele legate, schimbările cu CAB și CMDB</w:t>
      </w:r>
    </w:p>
    <w:p w:rsidR="00C556E0" w:rsidRDefault="000267C0">
      <w:pPr>
        <w:spacing w:before="120" w:after="60"/>
        <w:jc w:val="center"/>
      </w:pPr>
      <w:r>
        <w:rPr>
          <w:noProof/>
        </w:rPr>
        <w:drawing>
          <wp:inline distT="0" distB="0" distL="0" distR="0" wp14:anchorId="60160D02" wp14:editId="26BBFCCC">
            <wp:extent cx="6000000" cy="3750000"/>
            <wp:effectExtent l="19050" t="19050" r="8890" b="13970"/>
            <wp:docPr id="50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4" name=""/>
                    <pic:cNvPicPr/>
                  </pic:nvPicPr>
                  <pic:blipFill>
                    <a:blip r:embed="rIdShot4"/>
                    <a:stretch>
                      <a:fillRect/>
                    </a:stretch>
                  </pic:blipFill>
                  <pic:spPr>
                    <a:xfrm>
                      <a:off x="0" y="0"/>
                      <a:ext cx="6000000" cy="375000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556E0" w:rsidRDefault="00000000">
      <w:pPr>
        <w:spacing w:before="60" w:after="200"/>
        <w:jc w:val="center"/>
      </w:pPr>
      <w:r>
        <w:rPr>
          <w:rFonts w:ascii="Arial" w:eastAsia="Arial" w:hAnsi="Arial" w:cs="Arial"/>
          <w:i/>
          <w:iCs/>
          <w:color w:val="0070C0"/>
          <w:sz w:val="18"/>
          <w:szCs w:val="18"/>
        </w:rPr>
        <w:t xml:space="preserve">Fig. 4 Kanbanul VOGO: tichetele de suport pe coloanele Backlog, De făcut, În lucru și Gata, cu codul, prioritatea și termenul fiecăruia</w:t>
      </w:r>
    </w:p>
    <w:p w:rsidR="00C556E0" w:rsidRDefault="000267C0">
      <w:pPr>
        <w:spacing w:before="120" w:after="60"/>
        <w:jc w:val="center"/>
      </w:pPr>
      <w:r>
        <w:rPr>
          <w:noProof/>
        </w:rPr>
        <w:drawing>
          <wp:inline distT="0" distB="0" distL="0" distR="0" wp14:anchorId="60160D02" wp14:editId="26BBFCCC">
            <wp:extent cx="6000000" cy="3750000"/>
            <wp:effectExtent l="19050" t="19050" r="8890" b="13970"/>
            <wp:docPr id="5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5" name=""/>
                    <pic:cNvPicPr/>
                  </pic:nvPicPr>
                  <pic:blipFill>
                    <a:blip r:embed="rIdShot5"/>
                    <a:stretch>
                      <a:fillRect/>
                    </a:stretch>
                  </pic:blipFill>
                  <pic:spPr>
                    <a:xfrm>
                      <a:off x="0" y="0"/>
                      <a:ext cx="6000000" cy="375000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556E0" w:rsidRDefault="00000000">
      <w:pPr>
        <w:spacing w:before="60" w:after="200"/>
        <w:jc w:val="center"/>
      </w:pPr>
      <w:r>
        <w:rPr>
          <w:rFonts w:ascii="Arial" w:eastAsia="Arial" w:hAnsi="Arial" w:cs="Arial"/>
          <w:i/>
          <w:iCs/>
          <w:color w:val="0070C0"/>
          <w:sz w:val="18"/>
          <w:szCs w:val="18"/>
        </w:rPr>
        <w:t xml:space="preserve">Fig. 5 Fișa tichetului: descrierea, reamintirile, atașamentele și activitatea, alături de stare, prioritate, proiect, categorie, tag-uri, responsabil și termen</w:t>
      </w:r>
    </w:p>
    <w:p w:rsidR="00C556E0" w:rsidRDefault="000267C0">
      <w:pPr>
        <w:spacing w:before="120" w:after="60"/>
        <w:jc w:val="center"/>
      </w:pPr>
      <w:r>
        <w:rPr>
          <w:noProof/>
        </w:rPr>
        <w:drawing>
          <wp:inline distT="0" distB="0" distL="0" distR="0" wp14:anchorId="60160D02" wp14:editId="26BBFCCC">
            <wp:extent cx="6000000" cy="1976000"/>
            <wp:effectExtent l="19050" t="19050" r="8890" b="13970"/>
            <wp:docPr id="5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6" name=""/>
                    <pic:cNvPicPr/>
                  </pic:nvPicPr>
                  <pic:blipFill>
                    <a:blip r:embed="rIdShot6"/>
                    <a:stretch>
                      <a:fillRect/>
                    </a:stretch>
                  </pic:blipFill>
                  <pic:spPr>
                    <a:xfrm>
                      <a:off x="0" y="0"/>
                      <a:ext cx="6000000" cy="197600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556E0" w:rsidRDefault="00000000">
      <w:pPr>
        <w:spacing w:before="60" w:after="200"/>
        <w:jc w:val="center"/>
      </w:pPr>
      <w:r>
        <w:rPr>
          <w:rFonts w:ascii="Arial" w:eastAsia="Arial" w:hAnsi="Arial" w:cs="Arial"/>
          <w:i/>
          <w:iCs/>
          <w:color w:val="0070C0"/>
          <w:sz w:val="18"/>
          <w:szCs w:val="18"/>
        </w:rPr>
        <w:t xml:space="preserve">Fig. 6 Reamintirile unui tichet: data și ora, nota și canalele — notificare pe telefon, e-mail și WhatsApp</w:t>
      </w:r>
    </w:p>
    <w:sectPr w:rsidR="00F65386">
      <w:footerReference w:type="default" r:id="rId15"/>
      <w:pgSz w:w="11906" w:h="16838"/>
      <w:pgMar w:top="720" w:right="800" w:bottom="720" w:left="8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D6AAB" w14:textId="77777777" w:rsidR="0022690C" w:rsidRDefault="0022690C" w:rsidP="002F2CD0">
      <w:r>
        <w:separator/>
      </w:r>
    </w:p>
  </w:endnote>
  <w:endnote w:type="continuationSeparator" w:id="0">
    <w:p w14:paraId="14132379" w14:textId="77777777" w:rsidR="0022690C" w:rsidRDefault="0022690C" w:rsidP="002F2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B1E1E" w14:textId="628520A3" w:rsidR="002F2CD0" w:rsidRDefault="002F2CD0" w:rsidP="002F2CD0">
    <w:pPr>
      <w:pBdr>
        <w:top w:val="single" w:sz="6" w:space="0" w:color="DDDDDD"/>
      </w:pBdr>
      <w:tabs>
        <w:tab w:val="right" w:pos="10306"/>
      </w:tabs>
      <w:spacing w:before="160"/>
    </w:pPr>
    <w:r>
      <w:rPr>
        <w:rFonts w:ascii="Arial" w:eastAsia="Arial" w:hAnsi="Arial" w:cs="Arial"/>
        <w:b/>
        <w:bCs/>
        <w:color w:val="0070C0"/>
        <w:sz w:val="18"/>
        <w:szCs w:val="18"/>
      </w:rPr>
      <w:t>vogo.me/ebs</w:t>
    </w:r>
    <w:r>
      <w:tab/>
    </w:r>
    <w:r>
      <w:rPr>
        <w:rFonts w:ascii="Arial" w:eastAsia="Arial" w:hAnsi="Arial" w:cs="Arial"/>
        <w:b/>
        <w:bCs/>
        <w:color w:val="1B3F7F"/>
        <w:sz w:val="18"/>
        <w:szCs w:val="18"/>
      </w:rPr>
      <w:t>Transform. Integrate. Succeed.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124B9" w14:textId="77777777" w:rsidR="0022690C" w:rsidRDefault="0022690C" w:rsidP="002F2CD0">
      <w:r>
        <w:separator/>
      </w:r>
    </w:p>
  </w:footnote>
  <w:footnote w:type="continuationSeparator" w:id="0">
    <w:p w14:paraId="35876A24" w14:textId="77777777" w:rsidR="0022690C" w:rsidRDefault="0022690C" w:rsidP="002F2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2393E"/>
    <w:multiLevelType w:val="hybridMultilevel"/>
    <w:tmpl w:val="8392F504"/>
    <w:lvl w:ilvl="0" w:tplc="1B8AF240">
      <w:start w:val="1"/>
      <w:numFmt w:val="bullet"/>
      <w:lvlText w:val="●"/>
      <w:lvlJc w:val="left"/>
      <w:pPr>
        <w:ind w:left="720" w:hanging="360"/>
      </w:pPr>
    </w:lvl>
    <w:lvl w:ilvl="1" w:tplc="1E5858F0">
      <w:start w:val="1"/>
      <w:numFmt w:val="bullet"/>
      <w:lvlText w:val="○"/>
      <w:lvlJc w:val="left"/>
      <w:pPr>
        <w:ind w:left="1440" w:hanging="360"/>
      </w:pPr>
    </w:lvl>
    <w:lvl w:ilvl="2" w:tplc="6A7EDA72">
      <w:start w:val="1"/>
      <w:numFmt w:val="bullet"/>
      <w:lvlText w:val="■"/>
      <w:lvlJc w:val="left"/>
      <w:pPr>
        <w:ind w:left="2160" w:hanging="360"/>
      </w:pPr>
    </w:lvl>
    <w:lvl w:ilvl="3" w:tplc="EA5A065C">
      <w:start w:val="1"/>
      <w:numFmt w:val="bullet"/>
      <w:lvlText w:val="●"/>
      <w:lvlJc w:val="left"/>
      <w:pPr>
        <w:ind w:left="2880" w:hanging="360"/>
      </w:pPr>
    </w:lvl>
    <w:lvl w:ilvl="4" w:tplc="6BD665C4">
      <w:start w:val="1"/>
      <w:numFmt w:val="bullet"/>
      <w:lvlText w:val="○"/>
      <w:lvlJc w:val="left"/>
      <w:pPr>
        <w:ind w:left="3600" w:hanging="360"/>
      </w:pPr>
    </w:lvl>
    <w:lvl w:ilvl="5" w:tplc="9F32AA08">
      <w:start w:val="1"/>
      <w:numFmt w:val="bullet"/>
      <w:lvlText w:val="■"/>
      <w:lvlJc w:val="left"/>
      <w:pPr>
        <w:ind w:left="4320" w:hanging="360"/>
      </w:pPr>
    </w:lvl>
    <w:lvl w:ilvl="6" w:tplc="75805280">
      <w:start w:val="1"/>
      <w:numFmt w:val="bullet"/>
      <w:lvlText w:val="●"/>
      <w:lvlJc w:val="left"/>
      <w:pPr>
        <w:ind w:left="5040" w:hanging="360"/>
      </w:pPr>
    </w:lvl>
    <w:lvl w:ilvl="7" w:tplc="4F08678A">
      <w:start w:val="1"/>
      <w:numFmt w:val="bullet"/>
      <w:lvlText w:val="●"/>
      <w:lvlJc w:val="left"/>
      <w:pPr>
        <w:ind w:left="5760" w:hanging="360"/>
      </w:pPr>
    </w:lvl>
    <w:lvl w:ilvl="8" w:tplc="8390AF1E">
      <w:start w:val="1"/>
      <w:numFmt w:val="bullet"/>
      <w:lvlText w:val="●"/>
      <w:lvlJc w:val="left"/>
      <w:pPr>
        <w:ind w:left="6480" w:hanging="360"/>
      </w:pPr>
    </w:lvl>
  </w:abstractNum>
  <w:num w:numId="1" w16cid:durableId="12905495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6E0"/>
    <w:rsid w:val="000267C0"/>
    <w:rsid w:val="000827F5"/>
    <w:rsid w:val="00096C82"/>
    <w:rsid w:val="0016193E"/>
    <w:rsid w:val="001B6CE3"/>
    <w:rsid w:val="0022690C"/>
    <w:rsid w:val="002418B7"/>
    <w:rsid w:val="002F2CD0"/>
    <w:rsid w:val="00537911"/>
    <w:rsid w:val="005D122B"/>
    <w:rsid w:val="007C7E5F"/>
    <w:rsid w:val="008F6367"/>
    <w:rsid w:val="00952303"/>
    <w:rsid w:val="00993532"/>
    <w:rsid w:val="00B2449A"/>
    <w:rsid w:val="00BA7250"/>
    <w:rsid w:val="00C4181A"/>
    <w:rsid w:val="00C556E0"/>
    <w:rsid w:val="00CC452E"/>
    <w:rsid w:val="00CD4110"/>
    <w:rsid w:val="00D40B34"/>
    <w:rsid w:val="00D561DC"/>
    <w:rsid w:val="00F15D69"/>
    <w:rsid w:val="00F171D6"/>
    <w:rsid w:val="00F3662D"/>
    <w:rsid w:val="00F6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797B3"/>
  <w15:docId w15:val="{97970901-7475-451A-952E-FFCA3A5E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F2C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2CD0"/>
  </w:style>
  <w:style w:type="paragraph" w:styleId="Footer">
    <w:name w:val="footer"/>
    <w:basedOn w:val="Normal"/>
    <w:link w:val="FooterChar"/>
    <w:uiPriority w:val="99"/>
    <w:unhideWhenUsed/>
    <w:rsid w:val="002F2C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2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4" Type="http://schemas.openxmlformats.org/officeDocument/2006/relationships/webSettings" Target="webSettings.xml"/><Relationship Id="rIdShot1" Type="http://schemas.openxmlformats.org/officeDocument/2006/relationships/image" Target="media/shot-1.png"/><Relationship Id="rIdShot2" Type="http://schemas.openxmlformats.org/officeDocument/2006/relationships/image" Target="media/shot-2.png"/><Relationship Id="rIdShot3" Type="http://schemas.openxmlformats.org/officeDocument/2006/relationships/image" Target="media/shot-3.png"/><Relationship Id="rIdShot4" Type="http://schemas.openxmlformats.org/officeDocument/2006/relationships/image" Target="media/shot-4.png"/><Relationship Id="rIdShot5" Type="http://schemas.openxmlformats.org/officeDocument/2006/relationships/image" Target="media/shot-5.png"/><Relationship Id="rIdShot6" Type="http://schemas.openxmlformats.org/officeDocument/2006/relationships/image" Target="media/shot-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1470</Words>
  <Characters>8379</Characters>
  <Application>Microsoft Office Word</Application>
  <DocSecurity>0</DocSecurity>
  <Lines>69</Lines>
  <Paragraphs>19</Paragraphs>
  <ScaleCrop>false</ScaleCrop>
  <Company/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 Barcutean | vogo.me</cp:lastModifiedBy>
  <cp:revision>28</cp:revision>
  <dcterms:created xsi:type="dcterms:W3CDTF">2026-05-28T20:11:00Z</dcterms:created>
  <dcterms:modified xsi:type="dcterms:W3CDTF">2026-05-29T00:01:00Z</dcterms:modified>
</cp:coreProperties>
</file>