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0AFF1" w14:textId="77777777" w:rsidR="00E40B8C" w:rsidRPr="00CA5A2E" w:rsidRDefault="00000000">
      <w:pPr>
        <w:spacing w:after="200"/>
      </w:pPr>
      <w:r w:rsidRPr="00CA5A2E">
        <w:rPr>
          <w:rFonts w:ascii="Arial Black" w:eastAsia="Arial Black" w:hAnsi="Arial Black" w:cs="Arial Black"/>
          <w:spacing w:val="20"/>
          <w:sz w:val="20"/>
          <w:szCs w:val="20"/>
        </w:rPr>
        <w:t>V O G O   D I G I T A L</w:t>
      </w:r>
    </w:p>
    <w:p w14:paraId="321A76C3" w14:textId="77777777" w:rsidR="00E40B8C" w:rsidRPr="00CA5A2E" w:rsidRDefault="00000000">
      <w:pPr>
        <w:spacing w:after="600"/>
      </w:pPr>
      <w:r w:rsidRPr="00CA5A2E">
        <w:rPr>
          <w:sz w:val="20"/>
          <w:szCs w:val="20"/>
        </w:rPr>
        <w:t>FIȘĂ TEHNICĂ</w:t>
      </w:r>
    </w:p>
    <w:p w14:paraId="3C4AD1E2" w14:textId="77777777" w:rsidR="00E40B8C" w:rsidRPr="00CA5A2E" w:rsidRDefault="00000000">
      <w:pPr>
        <w:spacing w:after="40"/>
      </w:pPr>
      <w:r w:rsidRPr="00CA5A2E">
        <w:rPr>
          <w:rFonts w:ascii="Arial Black" w:eastAsia="Arial Black" w:hAnsi="Arial Black" w:cs="Arial Black"/>
          <w:sz w:val="44"/>
          <w:szCs w:val="44"/>
        </w:rPr>
        <w:t>VOGO eBS</w:t>
      </w:r>
    </w:p>
    <w:p w14:paraId="1D62AA0A" w14:textId="77777777" w:rsidR="00E40B8C" w:rsidRPr="00CA5A2E" w:rsidRDefault="00000000">
      <w:pPr>
        <w:spacing w:after="40"/>
      </w:pPr>
      <w:r w:rsidRPr="00CA5A2E">
        <w:rPr>
          <w:rFonts w:ascii="Arial Black" w:eastAsia="Arial Black" w:hAnsi="Arial Black" w:cs="Arial Black"/>
          <w:sz w:val="44"/>
          <w:szCs w:val="44"/>
        </w:rPr>
        <w:t>VOGO-DNSH</w:t>
      </w:r>
    </w:p>
    <w:p w14:paraId="6D21FA6D" w14:textId="399CB171" w:rsidR="00E40B8C" w:rsidRPr="00CA5A2E" w:rsidRDefault="00CA5A2E">
      <w:pPr>
        <w:spacing w:after="40"/>
      </w:pPr>
      <w:r w:rsidRPr="00CA5A2E">
        <w:rPr>
          <w:rFonts w:ascii="Arial Black" w:eastAsia="Arial Black" w:hAnsi="Arial Black" w:cs="Arial Black"/>
          <w:sz w:val="44"/>
          <w:szCs w:val="44"/>
        </w:rPr>
        <w:t>MONITORIZAREA CONSUMURILOR ȘI CONFORMITATE DNSH</w:t>
      </w:r>
    </w:p>
    <w:p w14:paraId="4B911BA9" w14:textId="77777777" w:rsidR="00E40B8C" w:rsidRDefault="00000000">
      <w:pPr>
        <w:spacing w:before="400" w:after="300"/>
        <w:rPr>
          <w:sz w:val="22"/>
          <w:szCs w:val="22"/>
        </w:rPr>
      </w:pPr>
      <w:r w:rsidRPr="00CA5A2E">
        <w:rPr>
          <w:sz w:val="22"/>
          <w:szCs w:val="22"/>
        </w:rPr>
        <w:t>VERSIUNEA 1.0</w:t>
      </w:r>
    </w:p>
    <w:p w14:paraId="1F962751" w14:textId="77777777" w:rsidR="00451B14" w:rsidRPr="00CA5A2E" w:rsidRDefault="00451B14">
      <w:pPr>
        <w:spacing w:before="400" w:after="30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146"/>
      </w:tblGrid>
      <w:tr w:rsidR="00E40B8C" w:rsidRPr="00CA5A2E" w14:paraId="790DD3A5" w14:textId="77777777"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DF0A2C" w14:textId="77777777" w:rsidR="00E40B8C" w:rsidRPr="00CA5A2E" w:rsidRDefault="00000000">
            <w:pPr>
              <w:spacing w:line="252" w:lineRule="auto"/>
            </w:pPr>
            <w:r w:rsidRPr="00CA5A2E">
              <w:rPr>
                <w:b/>
                <w:bCs/>
                <w:sz w:val="17"/>
                <w:szCs w:val="17"/>
              </w:rPr>
              <w:t>Produs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96036A" w14:textId="77777777" w:rsidR="00E40B8C" w:rsidRPr="00CA5A2E" w:rsidRDefault="00000000">
            <w:pPr>
              <w:spacing w:line="252" w:lineRule="auto"/>
            </w:pPr>
            <w:r w:rsidRPr="00CA5A2E">
              <w:rPr>
                <w:sz w:val="17"/>
                <w:szCs w:val="17"/>
              </w:rPr>
              <w:t>VOGO-DNSH</w:t>
            </w:r>
          </w:p>
        </w:tc>
      </w:tr>
      <w:tr w:rsidR="00E40B8C" w:rsidRPr="00CA5A2E" w14:paraId="6C21E4E3" w14:textId="77777777">
        <w:trPr>
          <w:cantSplit/>
        </w:trPr>
        <w:tc>
          <w:tcPr>
            <w:tcW w:w="2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7D4E7D" w14:textId="77777777" w:rsidR="00E40B8C" w:rsidRPr="00CA5A2E" w:rsidRDefault="00000000">
            <w:pPr>
              <w:spacing w:line="252" w:lineRule="auto"/>
            </w:pPr>
            <w:r w:rsidRPr="00CA5A2E">
              <w:rPr>
                <w:b/>
                <w:bCs/>
                <w:sz w:val="17"/>
                <w:szCs w:val="17"/>
              </w:rPr>
              <w:t>Domeniu</w:t>
            </w:r>
          </w:p>
        </w:tc>
        <w:tc>
          <w:tcPr>
            <w:tcW w:w="7146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38DA77" w14:textId="77777777" w:rsidR="00E40B8C" w:rsidRPr="00CA5A2E" w:rsidRDefault="00000000">
            <w:pPr>
              <w:spacing w:line="252" w:lineRule="auto"/>
            </w:pPr>
            <w:r w:rsidRPr="00CA5A2E">
              <w:rPr>
                <w:sz w:val="17"/>
                <w:szCs w:val="17"/>
              </w:rPr>
              <w:t>Monitorizarea consumurilor și conformitate DNSH</w:t>
            </w:r>
          </w:p>
        </w:tc>
      </w:tr>
      <w:tr w:rsidR="00E40B8C" w:rsidRPr="00CA5A2E" w14:paraId="6CB98B3C" w14:textId="77777777"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56DA9D" w14:textId="77777777" w:rsidR="00E40B8C" w:rsidRPr="00CA5A2E" w:rsidRDefault="00000000">
            <w:pPr>
              <w:spacing w:line="252" w:lineRule="auto"/>
            </w:pPr>
            <w:r w:rsidRPr="00CA5A2E">
              <w:rPr>
                <w:b/>
                <w:bCs/>
                <w:sz w:val="17"/>
                <w:szCs w:val="17"/>
              </w:rPr>
              <w:t>Scop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0DA680" w14:textId="77777777" w:rsidR="00E40B8C" w:rsidRPr="00CA5A2E" w:rsidRDefault="00000000">
            <w:pPr>
              <w:spacing w:line="252" w:lineRule="auto"/>
            </w:pPr>
            <w:r w:rsidRPr="00CA5A2E">
              <w:rPr>
                <w:sz w:val="17"/>
                <w:szCs w:val="17"/>
              </w:rPr>
              <w:t>Evidența consumurilor de energie și resurse și dovezile principiului DNSH</w:t>
            </w:r>
          </w:p>
        </w:tc>
      </w:tr>
      <w:tr w:rsidR="00E40B8C" w:rsidRPr="00CA5A2E" w14:paraId="4D872E10" w14:textId="77777777"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E57954" w14:textId="77777777" w:rsidR="00E40B8C" w:rsidRPr="00CA5A2E" w:rsidRDefault="00000000">
            <w:pPr>
              <w:spacing w:line="252" w:lineRule="auto"/>
            </w:pPr>
            <w:r w:rsidRPr="00CA5A2E">
              <w:rPr>
                <w:b/>
                <w:bCs/>
                <w:sz w:val="17"/>
                <w:szCs w:val="17"/>
              </w:rPr>
              <w:t>Interfețe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6C7312" w14:textId="77777777" w:rsidR="00E40B8C" w:rsidRPr="00CA5A2E" w:rsidRDefault="00000000">
            <w:pPr>
              <w:spacing w:line="252" w:lineRule="auto"/>
            </w:pPr>
            <w:r w:rsidRPr="00CA5A2E">
              <w:rPr>
                <w:sz w:val="17"/>
                <w:szCs w:val="17"/>
              </w:rPr>
              <w:t>Web responsive, API și aplicație mobilă, după profilul modulului</w:t>
            </w:r>
          </w:p>
        </w:tc>
      </w:tr>
      <w:tr w:rsidR="00E40B8C" w:rsidRPr="00CA5A2E" w14:paraId="6D749F84" w14:textId="77777777">
        <w:trPr>
          <w:cantSplit/>
        </w:trPr>
        <w:tc>
          <w:tcPr>
            <w:tcW w:w="2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FF0250" w14:textId="77777777" w:rsidR="00E40B8C" w:rsidRPr="00CA5A2E" w:rsidRDefault="00000000">
            <w:pPr>
              <w:spacing w:line="252" w:lineRule="auto"/>
            </w:pPr>
            <w:r w:rsidRPr="00CA5A2E">
              <w:rPr>
                <w:b/>
                <w:bCs/>
                <w:sz w:val="17"/>
                <w:szCs w:val="17"/>
              </w:rPr>
              <w:t>Execuție</w:t>
            </w:r>
          </w:p>
        </w:tc>
        <w:tc>
          <w:tcPr>
            <w:tcW w:w="7146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08A37C" w14:textId="77777777" w:rsidR="00E40B8C" w:rsidRPr="00CA5A2E" w:rsidRDefault="00000000">
            <w:pPr>
              <w:spacing w:line="252" w:lineRule="auto"/>
            </w:pPr>
            <w:r w:rsidRPr="00CA5A2E">
              <w:rPr>
                <w:sz w:val="17"/>
                <w:szCs w:val="17"/>
              </w:rPr>
              <w:t>On-premises, cloud privat sau hibrid; containere OCI ori mașini virtuale</w:t>
            </w:r>
          </w:p>
        </w:tc>
      </w:tr>
    </w:tbl>
    <w:p w14:paraId="2E187221" w14:textId="77777777" w:rsidR="00E40B8C" w:rsidRPr="00CA5A2E" w:rsidRDefault="00000000">
      <w:r w:rsidRPr="00CA5A2E">
        <w:br w:type="page"/>
      </w:r>
    </w:p>
    <w:p>
      <w:pPr>
        <w:keepNext/>
        <w:pBdr>
          <w:bottom w:val="single" w:sz="12" w:space="0" w:color="000000"/>
        </w:pBdr>
        <w:spacing w:before="200" w:after="80"/>
        <w:outlineLvl w:val="0"/>
      </w:pPr>
      <w:r>
        <w:rPr>
          <w:rFonts w:ascii="Arial Black" w:eastAsia="Arial Black" w:hAnsi="Arial Black" w:cs="Arial Black"/>
          <w:spacing w:val="8"/>
          <w:sz w:val="22"/>
          <w:szCs w:val="22"/>
        </w:rPr>
        <w:t xml:space="preserve">1. Prezentare generală</w:t>
      </w:r>
    </w:p>
    <w:p>
      <w:pPr>
        <w:spacing w:after="100" w:line="264" w:lineRule="auto"/>
        <w:jc w:val="both"/>
      </w:pPr>
      <w:r>
        <w:t xml:space="preserve">VOGO-DNSH urmărește consumurile de energie și resurse ale organizației și produce dovezile de respectare a principiului „de a nu prejudicia în mod semnificativ” (DNSH) cerute proiectelor cu finanțare europeană.</w:t>
      </w:r>
    </w:p>
    <w:p>
      <w:pPr>
        <w:keepNext/>
        <w:spacing w:before="200" w:after="80"/>
        <w:outlineLvl w:val="1"/>
      </w:pPr>
      <w:r>
        <w:rPr>
          <w:rFonts w:ascii="Arial Black" w:eastAsia="Arial Black" w:hAnsi="Arial Black" w:cs="Arial Black"/>
          <w:spacing w:val="8"/>
          <w:sz w:val="20"/>
          <w:szCs w:val="20"/>
        </w:rPr>
        <w:t xml:space="preserve">1.1 Rolul modulului</w:t>
      </w:r>
    </w:p>
    <w:p>
      <w:pPr>
        <w:keepNext/>
        <w:spacing w:before="180" w:after="80"/>
      </w:pPr>
      <w:r>
        <w:rPr>
          <w:rFonts w:ascii="Arial Black" w:eastAsia="Arial Black" w:hAnsi="Arial Black" w:cs="Arial Black"/>
          <w:sz w:val="16"/>
          <w:szCs w:val="16"/>
        </w:rPr>
        <w:t>Modulul asigură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Evidența consumurilor de energie electrică, energie termică, gaze naturale și apă, pe clădiri și locații.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Indicatori de eficiență, emisii în CO2 echivalent și ponderea energiei din surse regenerabile.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Rapoarte administrative și publice, cu dovezile de conformitate DNSH.</w:t>
      </w:r>
    </w:p>
    <w:p>
      <w:pPr>
        <w:keepNext/>
        <w:spacing w:before="200" w:after="80"/>
        <w:outlineLvl w:val="1"/>
      </w:pPr>
      <w:r>
        <w:rPr>
          <w:rFonts w:ascii="Arial Black" w:eastAsia="Arial Black" w:hAnsi="Arial Black" w:cs="Arial Black"/>
          <w:spacing w:val="8"/>
          <w:sz w:val="20"/>
          <w:szCs w:val="20"/>
        </w:rPr>
        <w:t xml:space="preserve">1.2 Cadrul de conformitate</w:t>
      </w:r>
    </w:p>
    <w:p>
      <w:pPr>
        <w:keepNext/>
        <w:spacing w:before="180" w:after="80"/>
      </w:pPr>
      <w:r>
        <w:rPr>
          <w:rFonts w:ascii="Arial Black" w:eastAsia="Arial Black" w:hAnsi="Arial Black" w:cs="Arial Black"/>
          <w:sz w:val="16"/>
          <w:szCs w:val="16"/>
        </w:rPr>
        <w:t>Modulul asigură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Principiul DNSH din Regulamentul (UE) 2020/852 privind taxonomia și din regulile Mecanismului de redresare și reziliență.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Cele șase obiective de mediu: atenuarea și adaptarea la schimbările climatice, apa, economia circulară, poluarea, biodiversitatea.</w:t>
      </w:r>
    </w:p>
    <w:p>
      <w:pPr>
        <w:keepNext/>
        <w:pBdr>
          <w:bottom w:val="single" w:sz="12" w:space="0" w:color="000000"/>
        </w:pBdr>
        <w:spacing w:before="200" w:after="80"/>
        <w:outlineLvl w:val="0"/>
      </w:pPr>
      <w:r>
        <w:rPr>
          <w:rFonts w:ascii="Arial Black" w:eastAsia="Arial Black" w:hAnsi="Arial Black" w:cs="Arial Black"/>
          <w:spacing w:val="8"/>
          <w:sz w:val="22"/>
          <w:szCs w:val="22"/>
        </w:rPr>
        <w:t xml:space="preserve">2. Clădiri, locații și puncte de consum</w:t>
      </w:r>
    </w:p>
    <w:p>
      <w:pPr>
        <w:spacing w:after="100" w:line="264" w:lineRule="auto"/>
        <w:jc w:val="both"/>
      </w:pPr>
      <w:r>
        <w:t xml:space="preserve">Consumurile se raportează la structura reală a patrimoniului organizației.</w:t>
      </w:r>
    </w:p>
    <w:p>
      <w:pPr>
        <w:keepNext/>
        <w:spacing w:before="200" w:after="80"/>
        <w:outlineLvl w:val="1"/>
      </w:pPr>
      <w:r>
        <w:rPr>
          <w:rFonts w:ascii="Arial Black" w:eastAsia="Arial Black" w:hAnsi="Arial Black" w:cs="Arial Black"/>
          <w:spacing w:val="8"/>
          <w:sz w:val="20"/>
          <w:szCs w:val="20"/>
        </w:rPr>
        <w:t xml:space="preserve">2.1 Patrimoniul urmărit</w:t>
      </w:r>
    </w:p>
    <w:p>
      <w:pPr>
        <w:keepNext/>
        <w:spacing w:before="180" w:after="80"/>
      </w:pPr>
      <w:r>
        <w:rPr>
          <w:rFonts w:ascii="Arial Black" w:eastAsia="Arial Black" w:hAnsi="Arial Black" w:cs="Arial Black"/>
          <w:sz w:val="16"/>
          <w:szCs w:val="16"/>
        </w:rPr>
        <w:t>Modulul asigură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Clădirile și locațiile organizației, cu suprafața, destinația și structura care le administrează.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Punctele de consum și contoarele fiecărei clădiri, pe tip de utilitate.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Istoricul modificărilor de patrimoniu, fără pierderea seriilor de date.</w:t>
      </w:r>
    </w:p>
    <w:p>
      <w:pPr>
        <w:keepNext/>
        <w:pBdr>
          <w:bottom w:val="single" w:sz="12" w:space="0" w:color="000000"/>
        </w:pBdr>
        <w:spacing w:before="200" w:after="80"/>
        <w:outlineLvl w:val="0"/>
      </w:pPr>
      <w:r>
        <w:rPr>
          <w:rFonts w:ascii="Arial Black" w:eastAsia="Arial Black" w:hAnsi="Arial Black" w:cs="Arial Black"/>
          <w:spacing w:val="8"/>
          <w:sz w:val="22"/>
          <w:szCs w:val="22"/>
        </w:rPr>
        <w:t xml:space="preserve">3. Evidența consumurilor</w:t>
      </w:r>
    </w:p>
    <w:p>
      <w:pPr>
        <w:spacing w:after="100" w:line="264" w:lineRule="auto"/>
        <w:jc w:val="both"/>
      </w:pPr>
      <w:r>
        <w:t xml:space="preserve">Consumurile intră în sistem manual, din facturi sau automat, din contoare și din sistemele furnizorilor.</w:t>
      </w:r>
    </w:p>
    <w:p>
      <w:pPr>
        <w:keepNext/>
        <w:spacing w:before="200" w:after="80"/>
        <w:outlineLvl w:val="1"/>
      </w:pPr>
      <w:r>
        <w:rPr>
          <w:rFonts w:ascii="Arial Black" w:eastAsia="Arial Black" w:hAnsi="Arial Black" w:cs="Arial Black"/>
          <w:spacing w:val="8"/>
          <w:sz w:val="20"/>
          <w:szCs w:val="20"/>
        </w:rPr>
        <w:t xml:space="preserve">3.1 Colectarea datelor</w:t>
      </w:r>
    </w:p>
    <w:p>
      <w:pPr>
        <w:keepNext/>
        <w:spacing w:before="180" w:after="80"/>
      </w:pPr>
      <w:r>
        <w:rPr>
          <w:rFonts w:ascii="Arial Black" w:eastAsia="Arial Black" w:hAnsi="Arial Black" w:cs="Arial Black"/>
          <w:sz w:val="16"/>
          <w:szCs w:val="16"/>
        </w:rPr>
        <w:t>Modulul asigură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Citiri de contor introduse din aplicația web sau mobilă, cu fotografia indexului.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Preluarea automată a datelor din facturile furnizorilor și din contoarele inteligente.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Validarea citirilor și semnalarea valorilor anormale față de istoric.</w:t>
      </w:r>
    </w:p>
    <w:p>
      <w:pPr>
        <w:keepNext/>
        <w:spacing w:before="200" w:after="80"/>
        <w:outlineLvl w:val="1"/>
      </w:pPr>
      <w:r>
        <w:rPr>
          <w:rFonts w:ascii="Arial Black" w:eastAsia="Arial Black" w:hAnsi="Arial Black" w:cs="Arial Black"/>
          <w:spacing w:val="8"/>
          <w:sz w:val="20"/>
          <w:szCs w:val="20"/>
        </w:rPr>
        <w:t xml:space="preserve">3.2 Utilități urmărite</w:t>
      </w:r>
    </w:p>
    <w:p>
      <w:pPr>
        <w:keepNext/>
        <w:spacing w:before="180" w:after="80"/>
      </w:pPr>
      <w:r>
        <w:rPr>
          <w:rFonts w:ascii="Arial Black" w:eastAsia="Arial Black" w:hAnsi="Arial Black" w:cs="Arial Black"/>
          <w:sz w:val="16"/>
          <w:szCs w:val="16"/>
        </w:rPr>
        <w:t>Modulul asigură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Energie electrică, energie termică, gaze naturale și apă, fiecare cu unitatea ei de măsură.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Producția proprie din surse regenerabile, separat de consumul din rețea.</w:t>
      </w:r>
    </w:p>
    <w:p>
      <w:pPr>
        <w:keepNext/>
        <w:pBdr>
          <w:bottom w:val="single" w:sz="12" w:space="0" w:color="000000"/>
        </w:pBdr>
        <w:spacing w:before="200" w:after="80"/>
        <w:outlineLvl w:val="0"/>
      </w:pPr>
      <w:r>
        <w:rPr>
          <w:rFonts w:ascii="Arial Black" w:eastAsia="Arial Black" w:hAnsi="Arial Black" w:cs="Arial Black"/>
          <w:spacing w:val="8"/>
          <w:sz w:val="22"/>
          <w:szCs w:val="22"/>
        </w:rPr>
        <w:t xml:space="preserve">4. Indicatori și emisii</w:t>
      </w:r>
    </w:p>
    <w:p>
      <w:pPr>
        <w:spacing w:after="100" w:line="264" w:lineRule="auto"/>
        <w:jc w:val="both"/>
      </w:pPr>
      <w:r>
        <w:t xml:space="preserve">Consumurile brute se transformă în indicatori comparabili între clădiri și perioade.</w:t>
      </w:r>
    </w:p>
    <w:p>
      <w:pPr>
        <w:keepNext/>
        <w:spacing w:before="200" w:after="80"/>
        <w:outlineLvl w:val="1"/>
      </w:pPr>
      <w:r>
        <w:rPr>
          <w:rFonts w:ascii="Arial Black" w:eastAsia="Arial Black" w:hAnsi="Arial Black" w:cs="Arial Black"/>
          <w:spacing w:val="8"/>
          <w:sz w:val="20"/>
          <w:szCs w:val="20"/>
        </w:rPr>
        <w:t xml:space="preserve">4.1 Indicatori de eficiență</w:t>
      </w:r>
    </w:p>
    <w:p>
      <w:pPr>
        <w:keepNext/>
        <w:spacing w:before="180" w:after="80"/>
      </w:pPr>
      <w:r>
        <w:rPr>
          <w:rFonts w:ascii="Arial Black" w:eastAsia="Arial Black" w:hAnsi="Arial Black" w:cs="Arial Black"/>
          <w:sz w:val="16"/>
          <w:szCs w:val="16"/>
        </w:rPr>
        <w:t>Modulul asigură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Consum pe unitate de suprafață, pe angajat și pe unitate de activitate.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Comparații între clădiri, între perioade și față de valorile de referință.</w:t>
      </w:r>
    </w:p>
    <w:p>
      <w:pPr>
        <w:keepNext/>
        <w:spacing w:before="200" w:after="80"/>
        <w:outlineLvl w:val="1"/>
      </w:pPr>
      <w:r>
        <w:rPr>
          <w:rFonts w:ascii="Arial Black" w:eastAsia="Arial Black" w:hAnsi="Arial Black" w:cs="Arial Black"/>
          <w:spacing w:val="8"/>
          <w:sz w:val="20"/>
          <w:szCs w:val="20"/>
        </w:rPr>
        <w:t xml:space="preserve">4.2 Emisii și regenerabile</w:t>
      </w:r>
    </w:p>
    <w:p>
      <w:pPr>
        <w:keepNext/>
        <w:spacing w:before="180" w:after="80"/>
      </w:pPr>
      <w:r>
        <w:rPr>
          <w:rFonts w:ascii="Arial Black" w:eastAsia="Arial Black" w:hAnsi="Arial Black" w:cs="Arial Black"/>
          <w:sz w:val="16"/>
          <w:szCs w:val="16"/>
        </w:rPr>
        <w:t>Modulul asigură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Calculul emisiilor în CO2 echivalent, cu factorii de emisie configurabili pe tip de energie.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Ponderea energiei din surse regenerabile în consumul total.</w:t>
      </w:r>
    </w:p>
    <w:p>
      <w:pPr>
        <w:keepNext/>
        <w:pBdr>
          <w:bottom w:val="single" w:sz="12" w:space="0" w:color="000000"/>
        </w:pBdr>
        <w:spacing w:before="200" w:after="80"/>
        <w:outlineLvl w:val="0"/>
      </w:pPr>
      <w:r>
        <w:rPr>
          <w:rFonts w:ascii="Arial Black" w:eastAsia="Arial Black" w:hAnsi="Arial Black" w:cs="Arial Black"/>
          <w:spacing w:val="8"/>
          <w:sz w:val="22"/>
          <w:szCs w:val="22"/>
        </w:rPr>
        <w:t xml:space="preserve">5. Tablouri de bord</w:t>
      </w:r>
    </w:p>
    <w:p>
      <w:pPr>
        <w:spacing w:after="100" w:line="264" w:lineRule="auto"/>
        <w:jc w:val="both"/>
      </w:pPr>
      <w:r>
        <w:t xml:space="preserve">Situația consumurilor se vede dintr-o privire, pe organizație, clădire și utilitate.</w:t>
      </w:r>
    </w:p>
    <w:p>
      <w:pPr>
        <w:keepNext/>
        <w:spacing w:before="200" w:after="80"/>
        <w:outlineLvl w:val="1"/>
      </w:pPr>
      <w:r>
        <w:rPr>
          <w:rFonts w:ascii="Arial Black" w:eastAsia="Arial Black" w:hAnsi="Arial Black" w:cs="Arial Black"/>
          <w:spacing w:val="8"/>
          <w:sz w:val="20"/>
          <w:szCs w:val="20"/>
        </w:rPr>
        <w:t xml:space="preserve">5.1 Vizualizare</w:t>
      </w:r>
    </w:p>
    <w:p>
      <w:pPr>
        <w:keepNext/>
        <w:spacing w:before="180" w:after="80"/>
      </w:pPr>
      <w:r>
        <w:rPr>
          <w:rFonts w:ascii="Arial Black" w:eastAsia="Arial Black" w:hAnsi="Arial Black" w:cs="Arial Black"/>
          <w:sz w:val="16"/>
          <w:szCs w:val="16"/>
        </w:rPr>
        <w:t>Modulul asigură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Tablouri de bord cu evoluția consumurilor, a costurilor și a emisiilor.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Filtrare pe perioadă, clădire, locație și tip de utilitate.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Alerte la depășirea pragurilor stabilite.</w:t>
      </w:r>
    </w:p>
    <w:p>
      <w:pPr>
        <w:keepNext/>
        <w:pBdr>
          <w:bottom w:val="single" w:sz="12" w:space="0" w:color="000000"/>
        </w:pBdr>
        <w:spacing w:before="200" w:after="80"/>
        <w:outlineLvl w:val="0"/>
      </w:pPr>
      <w:r>
        <w:rPr>
          <w:rFonts w:ascii="Arial Black" w:eastAsia="Arial Black" w:hAnsi="Arial Black" w:cs="Arial Black"/>
          <w:spacing w:val="8"/>
          <w:sz w:val="22"/>
          <w:szCs w:val="22"/>
        </w:rPr>
        <w:t xml:space="preserve">6. Inițiative de eficiență energetică</w:t>
      </w:r>
    </w:p>
    <w:p>
      <w:pPr>
        <w:spacing w:after="100" w:line="264" w:lineRule="auto"/>
        <w:jc w:val="both"/>
      </w:pPr>
      <w:r>
        <w:t xml:space="preserve">Măsurile de reducere a consumurilor se planifică și se urmăresc până la efectul lor măsurat.</w:t>
      </w:r>
    </w:p>
    <w:p>
      <w:pPr>
        <w:keepNext/>
        <w:spacing w:before="200" w:after="80"/>
        <w:outlineLvl w:val="1"/>
      </w:pPr>
      <w:r>
        <w:rPr>
          <w:rFonts w:ascii="Arial Black" w:eastAsia="Arial Black" w:hAnsi="Arial Black" w:cs="Arial Black"/>
          <w:spacing w:val="8"/>
          <w:sz w:val="20"/>
          <w:szCs w:val="20"/>
        </w:rPr>
        <w:t xml:space="preserve">6.1 Planificare și urmărire</w:t>
      </w:r>
    </w:p>
    <w:p>
      <w:pPr>
        <w:keepNext/>
        <w:spacing w:before="180" w:after="80"/>
      </w:pPr>
      <w:r>
        <w:rPr>
          <w:rFonts w:ascii="Arial Black" w:eastAsia="Arial Black" w:hAnsi="Arial Black" w:cs="Arial Black"/>
          <w:sz w:val="16"/>
          <w:szCs w:val="16"/>
        </w:rPr>
        <w:t>Modulul asigură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Inițiativele de eficiență, cu clădirea vizată, bugetul, responsabilul și termenul.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Economia estimată comparată cu economia realizată, măsurată din consumuri.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Legarea inițiativelor de proiectele finanțate și de indicatorii lor.</w:t>
      </w:r>
    </w:p>
    <w:p>
      <w:pPr>
        <w:keepNext/>
        <w:pBdr>
          <w:bottom w:val="single" w:sz="12" w:space="0" w:color="000000"/>
        </w:pBdr>
        <w:spacing w:before="200" w:after="80"/>
        <w:outlineLvl w:val="0"/>
      </w:pPr>
      <w:r>
        <w:rPr>
          <w:rFonts w:ascii="Arial Black" w:eastAsia="Arial Black" w:hAnsi="Arial Black" w:cs="Arial Black"/>
          <w:spacing w:val="8"/>
          <w:sz w:val="22"/>
          <w:szCs w:val="22"/>
        </w:rPr>
        <w:t xml:space="preserve">7. Rapoarte și dovezi DNSH</w:t>
      </w:r>
    </w:p>
    <w:p>
      <w:pPr>
        <w:spacing w:after="100" w:line="264" w:lineRule="auto"/>
        <w:jc w:val="both"/>
      </w:pPr>
      <w:r>
        <w:t xml:space="preserve">Rapoartele se generează din datele înregistrate, fără compilări manuale.</w:t>
      </w:r>
    </w:p>
    <w:p>
      <w:pPr>
        <w:keepNext/>
        <w:spacing w:before="200" w:after="80"/>
        <w:outlineLvl w:val="1"/>
      </w:pPr>
      <w:r>
        <w:rPr>
          <w:rFonts w:ascii="Arial Black" w:eastAsia="Arial Black" w:hAnsi="Arial Black" w:cs="Arial Black"/>
          <w:spacing w:val="8"/>
          <w:sz w:val="20"/>
          <w:szCs w:val="20"/>
        </w:rPr>
        <w:t xml:space="preserve">7.1 Rapoarte</w:t>
      </w:r>
    </w:p>
    <w:p>
      <w:pPr>
        <w:keepNext/>
        <w:spacing w:before="180" w:after="80"/>
      </w:pPr>
      <w:r>
        <w:rPr>
          <w:rFonts w:ascii="Arial Black" w:eastAsia="Arial Black" w:hAnsi="Arial Black" w:cs="Arial Black"/>
          <w:sz w:val="16"/>
          <w:szCs w:val="16"/>
        </w:rPr>
        <w:t>Modulul asigură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Rapoarte administrative pentru conducere și pentru autoritățile de management.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Rapoarte publice privind consumurile și emisiile, pentru transparență.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Export în formate uzuale.</w:t>
      </w:r>
    </w:p>
    <w:p>
      <w:pPr>
        <w:keepNext/>
        <w:spacing w:before="200" w:after="80"/>
        <w:outlineLvl w:val="1"/>
      </w:pPr>
      <w:r>
        <w:rPr>
          <w:rFonts w:ascii="Arial Black" w:eastAsia="Arial Black" w:hAnsi="Arial Black" w:cs="Arial Black"/>
          <w:spacing w:val="8"/>
          <w:sz w:val="20"/>
          <w:szCs w:val="20"/>
        </w:rPr>
        <w:t xml:space="preserve">7.2 Dovezi de conformitate</w:t>
      </w:r>
    </w:p>
    <w:p>
      <w:pPr>
        <w:keepNext/>
        <w:spacing w:before="180" w:after="80"/>
      </w:pPr>
      <w:r>
        <w:rPr>
          <w:rFonts w:ascii="Arial Black" w:eastAsia="Arial Black" w:hAnsi="Arial Black" w:cs="Arial Black"/>
          <w:sz w:val="16"/>
          <w:szCs w:val="16"/>
        </w:rPr>
        <w:t>Modulul asigură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Dosarul de dovezi DNSH pe proiect, cu documentele, măsurătorile și indicatorii care le susțin.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Păstrarea dovezilor pe toată durata de sustenabilitate a proiectului, pentru control și audit.</w:t>
      </w:r>
    </w:p>
    <w:p>
      <w:pPr>
        <w:keepNext/>
        <w:pBdr>
          <w:bottom w:val="single" w:sz="12" w:space="0" w:color="000000"/>
        </w:pBdr>
        <w:spacing w:before="200" w:after="80"/>
        <w:outlineLvl w:val="0"/>
      </w:pPr>
      <w:r>
        <w:rPr>
          <w:rFonts w:ascii="Arial Black" w:eastAsia="Arial Black" w:hAnsi="Arial Black" w:cs="Arial Black"/>
          <w:spacing w:val="8"/>
          <w:sz w:val="22"/>
          <w:szCs w:val="22"/>
        </w:rPr>
        <w:t xml:space="preserve">8. Integrare</w:t>
      </w:r>
    </w:p>
    <w:p>
      <w:pPr>
        <w:spacing w:after="100" w:line="264" w:lineRule="auto"/>
        <w:jc w:val="both"/>
      </w:pPr>
      <w:r>
        <w:t xml:space="preserve">Modulul folosește datele existente ale platformei VOGO eBS, fără dubla introducere.</w:t>
      </w:r>
    </w:p>
    <w:p>
      <w:pPr>
        <w:keepNext/>
        <w:spacing w:before="200" w:after="80"/>
        <w:outlineLvl w:val="1"/>
      </w:pPr>
      <w:r>
        <w:rPr>
          <w:rFonts w:ascii="Arial Black" w:eastAsia="Arial Black" w:hAnsi="Arial Black" w:cs="Arial Black"/>
          <w:spacing w:val="8"/>
          <w:sz w:val="20"/>
          <w:szCs w:val="20"/>
        </w:rPr>
        <w:t xml:space="preserve">8.1 Integrare cu platforma</w:t>
      </w:r>
    </w:p>
    <w:p>
      <w:pPr>
        <w:keepNext/>
        <w:spacing w:before="180" w:after="80"/>
      </w:pPr>
      <w:r>
        <w:rPr>
          <w:rFonts w:ascii="Arial Black" w:eastAsia="Arial Black" w:hAnsi="Arial Black" w:cs="Arial Black"/>
          <w:sz w:val="16"/>
          <w:szCs w:val="16"/>
        </w:rPr>
        <w:t>Modulul asigură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VOGO BI &amp; ETL pentru preluarea, prelucrarea și analiza datelor de consum.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Modulul Proiecte, pentru legarea consumurilor și a inițiativelor de proiectele finanțate.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Platforma de integrare, pentru conectarea contoarelor și a sistemelor furnizorilor.</w:t>
      </w:r>
    </w:p>
    <w:p>
      <w:pPr>
        <w:keepNext/>
        <w:pBdr>
          <w:bottom w:val="single" w:sz="12" w:space="0" w:color="000000"/>
        </w:pBdr>
        <w:spacing w:before="200" w:after="80"/>
        <w:outlineLvl w:val="0"/>
      </w:pPr>
      <w:r>
        <w:rPr>
          <w:rFonts w:ascii="Arial Black" w:eastAsia="Arial Black" w:hAnsi="Arial Black" w:cs="Arial Black"/>
          <w:spacing w:val="8"/>
          <w:sz w:val="22"/>
          <w:szCs w:val="22"/>
        </w:rPr>
        <w:t xml:space="preserve">9. Securitate, acces și audit</w:t>
      </w:r>
    </w:p>
    <w:p>
      <w:pPr>
        <w:spacing w:after="100" w:line="264" w:lineRule="auto"/>
        <w:jc w:val="both"/>
      </w:pPr>
      <w:r>
        <w:t xml:space="preserve">Datele de consum și dovezile de conformitate sunt protejate și trasabile.</w:t>
      </w:r>
    </w:p>
    <w:p>
      <w:pPr>
        <w:keepNext/>
        <w:spacing w:before="200" w:after="80"/>
        <w:outlineLvl w:val="1"/>
      </w:pPr>
      <w:r>
        <w:rPr>
          <w:rFonts w:ascii="Arial Black" w:eastAsia="Arial Black" w:hAnsi="Arial Black" w:cs="Arial Black"/>
          <w:spacing w:val="8"/>
          <w:sz w:val="20"/>
          <w:szCs w:val="20"/>
        </w:rPr>
        <w:t xml:space="preserve">9.1 Acces și trasabilitate</w:t>
      </w:r>
    </w:p>
    <w:p>
      <w:pPr>
        <w:keepNext/>
        <w:spacing w:before="180" w:after="80"/>
      </w:pPr>
      <w:r>
        <w:rPr>
          <w:rFonts w:ascii="Arial Black" w:eastAsia="Arial Black" w:hAnsi="Arial Black" w:cs="Arial Black"/>
          <w:sz w:val="16"/>
          <w:szCs w:val="16"/>
        </w:rPr>
        <w:t>Modulul asigură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Acces pe roluri: operatori de citiri, responsabili de clădiri, energeticieni, conducere.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Jurnalizarea fiecărei introduceri și modificări de date, cu autorul și momentul ei.</w:t>
      </w:r>
    </w:p>
    <w:p>
      <w:pPr>
        <w:keepNext/>
        <w:pBdr>
          <w:bottom w:val="single" w:sz="12" w:space="0" w:color="000000"/>
        </w:pBdr>
        <w:spacing w:before="200" w:after="80"/>
        <w:outlineLvl w:val="0"/>
      </w:pPr>
      <w:r>
        <w:rPr>
          <w:rFonts w:ascii="Arial Black" w:eastAsia="Arial Black" w:hAnsi="Arial Black" w:cs="Arial Black"/>
          <w:spacing w:val="8"/>
          <w:sz w:val="22"/>
          <w:szCs w:val="22"/>
        </w:rPr>
        <w:t xml:space="preserve">10. Arhitectură și operare</w:t>
      </w:r>
    </w:p>
    <w:p>
      <w:pPr>
        <w:spacing w:after="100" w:line="264" w:lineRule="auto"/>
        <w:jc w:val="both"/>
      </w:pPr>
      <w:r>
        <w:t xml:space="preserve">Modulul urmează modelul de operare comun al platformei VOGO eBS.</w:t>
      </w:r>
    </w:p>
    <w:p>
      <w:pPr>
        <w:keepNext/>
        <w:spacing w:before="200" w:after="80"/>
        <w:outlineLvl w:val="1"/>
      </w:pPr>
      <w:r>
        <w:rPr>
          <w:rFonts w:ascii="Arial Black" w:eastAsia="Arial Black" w:hAnsi="Arial Black" w:cs="Arial Black"/>
          <w:spacing w:val="8"/>
          <w:sz w:val="20"/>
          <w:szCs w:val="20"/>
        </w:rPr>
        <w:t xml:space="preserve">10.1 Arhitectură și operare</w:t>
      </w:r>
    </w:p>
    <w:p>
      <w:pPr>
        <w:keepNext/>
        <w:spacing w:before="180" w:after="80"/>
      </w:pPr>
      <w:r>
        <w:rPr>
          <w:rFonts w:ascii="Arial Black" w:eastAsia="Arial Black" w:hAnsi="Arial Black" w:cs="Arial Black"/>
          <w:sz w:val="16"/>
          <w:szCs w:val="16"/>
        </w:rPr>
        <w:t>Modulul asigură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Implementare on-premises, în cloud privat sau în arhitectură hibridă, pe containere OCI sau mașini virtuale.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Separarea mediilor de dezvoltare, testare, acceptanță și producție.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Backup periodic, restaurare testată și monitorizarea serviciilor.</w:t>
      </w:r>
    </w:p>
    <w:p>
      <w:pPr>
        <w:keepNext/>
        <w:pBdr>
          <w:bottom w:val="single" w:sz="12" w:space="0" w:color="000000"/>
        </w:pBdr>
        <w:spacing w:before="200" w:after="80"/>
        <w:outlineLvl w:val="0"/>
      </w:pPr>
      <w:r>
        <w:rPr>
          <w:rFonts w:ascii="Arial Black" w:eastAsia="Arial Black" w:hAnsi="Arial Black" w:cs="Arial Black"/>
          <w:spacing w:val="8"/>
          <w:sz w:val="22"/>
          <w:szCs w:val="22"/>
        </w:rPr>
        <w:t xml:space="preserve">11. Livrare, suport și instruire</w:t>
      </w:r>
    </w:p>
    <w:p>
      <w:pPr>
        <w:spacing w:after="100" w:line="264" w:lineRule="auto"/>
        <w:jc w:val="both"/>
      </w:pPr>
      <w:r>
        <w:t xml:space="preserve">Modulul urmează modelul de operare comun al platformei VOGO eBS.</w:t>
      </w:r>
    </w:p>
    <w:p>
      <w:pPr>
        <w:keepNext/>
        <w:spacing w:before="200" w:after="80"/>
        <w:outlineLvl w:val="1"/>
      </w:pPr>
      <w:r>
        <w:rPr>
          <w:rFonts w:ascii="Arial Black" w:eastAsia="Arial Black" w:hAnsi="Arial Black" w:cs="Arial Black"/>
          <w:spacing w:val="8"/>
          <w:sz w:val="20"/>
          <w:szCs w:val="20"/>
        </w:rPr>
        <w:t xml:space="preserve">11.1 Livrare, suport și instruire</w:t>
      </w:r>
    </w:p>
    <w:p>
      <w:pPr>
        <w:keepNext/>
        <w:spacing w:before="180" w:after="80"/>
      </w:pPr>
      <w:r>
        <w:rPr>
          <w:rFonts w:ascii="Arial Black" w:eastAsia="Arial Black" w:hAnsi="Arial Black" w:cs="Arial Black"/>
          <w:sz w:val="16"/>
          <w:szCs w:val="16"/>
        </w:rPr>
        <w:t>Modulul asigură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Instalare, configurare inițială și punere în funcțiune, cu documentație în limba română.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Instruirea administratorilor și a utilizatorilor, cu ghiduri de utilizare și filme de prezentare.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Suport tehnic, actualizări și note de versiune pe durata contractului.</w:t>
      </w:r>
    </w:p>
    <w:sectPr w:rsidR="00E40B8C" w:rsidRPr="00CA5A2E">
      <w:headerReference w:type="default" r:id="rId7"/>
      <w:footerReference w:type="default" r:id="rId8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6EAFB" w14:textId="77777777" w:rsidR="00221B8D" w:rsidRPr="00CA5A2E" w:rsidRDefault="00221B8D">
      <w:r w:rsidRPr="00CA5A2E">
        <w:separator/>
      </w:r>
    </w:p>
  </w:endnote>
  <w:endnote w:type="continuationSeparator" w:id="0">
    <w:p w14:paraId="13CDA783" w14:textId="77777777" w:rsidR="00221B8D" w:rsidRPr="00CA5A2E" w:rsidRDefault="00221B8D">
      <w:r w:rsidRPr="00CA5A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50ED3" w14:textId="77777777" w:rsidR="00E40B8C" w:rsidRPr="00CA5A2E" w:rsidRDefault="00000000">
    <w:pPr>
      <w:pBdr>
        <w:top w:val="single" w:sz="6" w:space="0" w:color="000000"/>
      </w:pBdr>
      <w:jc w:val="right"/>
    </w:pPr>
    <w:r w:rsidRPr="00CA5A2E">
      <w:rPr>
        <w:sz w:val="14"/>
        <w:szCs w:val="14"/>
      </w:rPr>
      <w:t xml:space="preserve">VOGO DIGITAL  ·  </w:t>
    </w:r>
    <w:r w:rsidRPr="00CA5A2E">
      <w:rPr>
        <w:sz w:val="14"/>
        <w:szCs w:val="14"/>
      </w:rPr>
      <w:fldChar w:fldCharType="begin"/>
    </w:r>
    <w:r w:rsidRPr="00CA5A2E">
      <w:rPr>
        <w:sz w:val="14"/>
        <w:szCs w:val="14"/>
      </w:rPr>
      <w:instrText>PAGE</w:instrText>
    </w:r>
    <w:r w:rsidRPr="00CA5A2E">
      <w:rPr>
        <w:sz w:val="14"/>
        <w:szCs w:val="14"/>
      </w:rPr>
      <w:fldChar w:fldCharType="separate"/>
    </w:r>
    <w:r w:rsidR="00CA5A2E" w:rsidRPr="00CA5A2E">
      <w:rPr>
        <w:sz w:val="14"/>
        <w:szCs w:val="14"/>
      </w:rPr>
      <w:t>1</w:t>
    </w:r>
    <w:r w:rsidRPr="00CA5A2E">
      <w:rPr>
        <w:sz w:val="14"/>
        <w:szCs w:val="14"/>
      </w:rPr>
      <w:fldChar w:fldCharType="end"/>
    </w:r>
    <w:r w:rsidRPr="00CA5A2E">
      <w:rPr>
        <w:sz w:val="14"/>
        <w:szCs w:val="14"/>
      </w:rPr>
      <w:t xml:space="preserve"> / </w:t>
    </w:r>
    <w:r w:rsidRPr="00CA5A2E">
      <w:rPr>
        <w:sz w:val="14"/>
        <w:szCs w:val="14"/>
      </w:rPr>
      <w:fldChar w:fldCharType="begin"/>
    </w:r>
    <w:r w:rsidRPr="00CA5A2E">
      <w:rPr>
        <w:sz w:val="14"/>
        <w:szCs w:val="14"/>
      </w:rPr>
      <w:instrText>NUMPAGES</w:instrText>
    </w:r>
    <w:r w:rsidRPr="00CA5A2E">
      <w:rPr>
        <w:sz w:val="14"/>
        <w:szCs w:val="14"/>
      </w:rPr>
      <w:fldChar w:fldCharType="separate"/>
    </w:r>
    <w:r w:rsidR="00CA5A2E" w:rsidRPr="00CA5A2E">
      <w:rPr>
        <w:sz w:val="14"/>
        <w:szCs w:val="14"/>
      </w:rPr>
      <w:t>2</w:t>
    </w:r>
    <w:r w:rsidRPr="00CA5A2E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559F5" w14:textId="77777777" w:rsidR="00221B8D" w:rsidRPr="00CA5A2E" w:rsidRDefault="00221B8D">
      <w:r w:rsidRPr="00CA5A2E">
        <w:separator/>
      </w:r>
    </w:p>
  </w:footnote>
  <w:footnote w:type="continuationSeparator" w:id="0">
    <w:p w14:paraId="6869A895" w14:textId="77777777" w:rsidR="00221B8D" w:rsidRPr="00CA5A2E" w:rsidRDefault="00221B8D">
      <w:r w:rsidRPr="00CA5A2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3971F" w14:textId="77777777" w:rsidR="00E40B8C" w:rsidRPr="00CA5A2E" w:rsidRDefault="00000000">
    <w:pPr>
      <w:pBdr>
        <w:bottom w:val="single" w:sz="6" w:space="0" w:color="000000"/>
      </w:pBdr>
      <w:jc w:val="right"/>
    </w:pPr>
    <w:r w:rsidRPr="00CA5A2E">
      <w:rPr>
        <w:rFonts w:ascii="Arial Black" w:eastAsia="Arial Black" w:hAnsi="Arial Black" w:cs="Arial Black"/>
        <w:spacing w:val="12"/>
        <w:sz w:val="12"/>
        <w:szCs w:val="12"/>
      </w:rPr>
      <w:t>FIȘĂ TEHNICĂ  ·  VOGO-DNSH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A739F"/>
    <w:multiLevelType w:val="hybridMultilevel"/>
    <w:tmpl w:val="B93A94BE"/>
    <w:lvl w:ilvl="0" w:tplc="D9DEB0DC">
      <w:start w:val="1"/>
      <w:numFmt w:val="bullet"/>
      <w:lvlText w:val="●"/>
      <w:lvlJc w:val="left"/>
      <w:pPr>
        <w:ind w:left="720" w:hanging="360"/>
      </w:pPr>
    </w:lvl>
    <w:lvl w:ilvl="1" w:tplc="56B4CACC">
      <w:start w:val="1"/>
      <w:numFmt w:val="bullet"/>
      <w:lvlText w:val="○"/>
      <w:lvlJc w:val="left"/>
      <w:pPr>
        <w:ind w:left="1440" w:hanging="360"/>
      </w:pPr>
    </w:lvl>
    <w:lvl w:ilvl="2" w:tplc="70A00DA0">
      <w:start w:val="1"/>
      <w:numFmt w:val="bullet"/>
      <w:lvlText w:val="■"/>
      <w:lvlJc w:val="left"/>
      <w:pPr>
        <w:ind w:left="2160" w:hanging="360"/>
      </w:pPr>
    </w:lvl>
    <w:lvl w:ilvl="3" w:tplc="0B6CADF6">
      <w:start w:val="1"/>
      <w:numFmt w:val="bullet"/>
      <w:lvlText w:val="●"/>
      <w:lvlJc w:val="left"/>
      <w:pPr>
        <w:ind w:left="2880" w:hanging="360"/>
      </w:pPr>
    </w:lvl>
    <w:lvl w:ilvl="4" w:tplc="4E48B6BC">
      <w:start w:val="1"/>
      <w:numFmt w:val="bullet"/>
      <w:lvlText w:val="○"/>
      <w:lvlJc w:val="left"/>
      <w:pPr>
        <w:ind w:left="3600" w:hanging="360"/>
      </w:pPr>
    </w:lvl>
    <w:lvl w:ilvl="5" w:tplc="B87C0F50">
      <w:start w:val="1"/>
      <w:numFmt w:val="bullet"/>
      <w:lvlText w:val="■"/>
      <w:lvlJc w:val="left"/>
      <w:pPr>
        <w:ind w:left="4320" w:hanging="360"/>
      </w:pPr>
    </w:lvl>
    <w:lvl w:ilvl="6" w:tplc="E0687A52">
      <w:start w:val="1"/>
      <w:numFmt w:val="bullet"/>
      <w:lvlText w:val="●"/>
      <w:lvlJc w:val="left"/>
      <w:pPr>
        <w:ind w:left="5040" w:hanging="360"/>
      </w:pPr>
    </w:lvl>
    <w:lvl w:ilvl="7" w:tplc="0F847962">
      <w:start w:val="1"/>
      <w:numFmt w:val="bullet"/>
      <w:lvlText w:val="●"/>
      <w:lvlJc w:val="left"/>
      <w:pPr>
        <w:ind w:left="5760" w:hanging="360"/>
      </w:pPr>
    </w:lvl>
    <w:lvl w:ilvl="8" w:tplc="161CB240">
      <w:start w:val="1"/>
      <w:numFmt w:val="bullet"/>
      <w:lvlText w:val="●"/>
      <w:lvlJc w:val="left"/>
      <w:pPr>
        <w:ind w:left="6480" w:hanging="360"/>
      </w:pPr>
    </w:lvl>
  </w:abstractNum>
  <w:num w:numId="1" w16cid:durableId="93081726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B8C"/>
    <w:rsid w:val="00221B8D"/>
    <w:rsid w:val="002705F3"/>
    <w:rsid w:val="00451B14"/>
    <w:rsid w:val="0085592C"/>
    <w:rsid w:val="00BD0C81"/>
    <w:rsid w:val="00CA5A2E"/>
    <w:rsid w:val="00E40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18223"/>
  <w15:docId w15:val="{B816AB39-58B8-4CCC-84D4-011301EA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19"/>
        <w:szCs w:val="19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ro-RO"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1191</Words>
  <Characters>6794</Characters>
  <Application>Microsoft Office Word</Application>
  <DocSecurity>0</DocSecurity>
  <Lines>56</Lines>
  <Paragraphs>15</Paragraphs>
  <ScaleCrop>false</ScaleCrop>
  <Company/>
  <LinksUpToDate>false</LinksUpToDate>
  <CharactersWithSpaces>7970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Adrian Barcutean | vogo.me</cp:lastModifiedBy>
  <cp:revision>3</cp:revision>
  <dcterms:created xsi:type="dcterms:W3CDTF">2026-08-21T11:04:00Z</dcterms:created>
  <dcterms:modified xsi:type="dcterms:W3CDTF">2026-09-29T15:16:00Z</dcterms:modified>
</cp:coreProperties>
</file>