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4306"/>
      </w:tblGrid>
      <w:tr w:rsidR="0007420D" w14:paraId="4A1C6BD4" w14:textId="77777777"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F7F"/>
            <w:tcMar>
              <w:top w:w="200" w:type="dxa"/>
              <w:left w:w="240" w:type="dxa"/>
              <w:bottom w:w="200" w:type="dxa"/>
              <w:right w:w="240" w:type="dxa"/>
            </w:tcMar>
          </w:tcPr>
          <w:p w14:paraId="75A0ECBF" w14:textId="77777777" w:rsidR="0007420D" w:rsidRDefault="00F3345A">
            <w:r w:rsidRPr="003132E8">
              <w:rPr>
                <w:rFonts w:ascii="Aptos Display" w:hAnsi="Aptos Display"/>
                <w:b/>
                <w:spacing w:val="-34"/>
                <w:sz w:val="80"/>
                <w:szCs w:val="80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E3E2170" wp14:editId="30B01C66">
                      <wp:simplePos x="0" y="0"/>
                      <wp:positionH relativeFrom="column">
                        <wp:posOffset>582168</wp:posOffset>
                      </wp:positionH>
                      <wp:positionV relativeFrom="paragraph">
                        <wp:posOffset>-77343</wp:posOffset>
                      </wp:positionV>
                      <wp:extent cx="252095" cy="25209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520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40542" w14:textId="77777777" w:rsidR="00F3345A" w:rsidRPr="00F3345A" w:rsidRDefault="00F3345A" w:rsidP="00F3345A">
                                  <w:pPr>
                                    <w:rPr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 w:rsidRPr="00F3345A">
                                    <w:rPr>
                                      <w:color w:val="FFFFFF" w:themeColor="background1"/>
                                      <w:lang w:val="en-US"/>
                                    </w:rPr>
                                    <w:t>®</w:t>
                                  </w:r>
                                  <w:r w:rsidRPr="00F3345A">
                                    <w:rPr>
                                      <w:color w:val="FFFFFF" w:themeColor="background1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3E21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5.85pt;margin-top:-6.1pt;width:19.85pt;height:19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" filled="f" stroked="f">
                      <v:textbox>
                        <w:txbxContent>
                          <w:p w14:paraId="62332470" w14:textId="77777777" w:rsidR="00F3345A" w:rsidRPr="00F3345A" w:rsidRDefault="00F3345A" w:rsidP="00F3345A">
                            <w:pPr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</w:pP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>®</w:t>
                            </w:r>
                            <w:r w:rsidRPr="00F3345A">
                              <w:rPr>
                                <w:noProof/>
                                <w:color w:val="FFFFFF" w:themeColor="background1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bCs/>
                <w:color w:val="FFFFFF"/>
                <w:sz w:val="36"/>
                <w:szCs w:val="36"/>
              </w:rPr>
              <w:t>VOGO</w:t>
            </w:r>
            <w:r w:rsidR="00003DB7">
              <w:rPr>
                <w:b/>
                <w:bCs/>
                <w:color w:val="FFFFFF"/>
                <w:sz w:val="36"/>
                <w:szCs w:val="36"/>
              </w:rPr>
              <w:t xml:space="preserve"> </w:t>
            </w:r>
            <w:r>
              <w:rPr>
                <w:b/>
                <w:bCs/>
                <w:color w:val="7EC8F5"/>
                <w:sz w:val="36"/>
                <w:szCs w:val="36"/>
              </w:rPr>
              <w:t>eBS</w:t>
            </w:r>
          </w:p>
          <w:p w14:paraId="39A753E0" w14:textId="77777777" w:rsidR="0007420D" w:rsidRDefault="00000000">
            <w:r>
              <w:rPr>
                <w:color w:val="BFD4FF"/>
                <w:sz w:val="18"/>
                <w:szCs w:val="18"/>
              </w:rPr>
              <w:t>Enterprise Business Suite</w:t>
            </w:r>
          </w:p>
        </w:tc>
        <w:tc>
          <w:tcPr>
            <w:tcW w:w="43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070C0"/>
            <w:tcMar>
              <w:top w:w="200" w:type="dxa"/>
              <w:left w:w="240" w:type="dxa"/>
              <w:bottom w:w="200" w:type="dxa"/>
              <w:right w:w="240" w:type="dxa"/>
            </w:tcMar>
            <w:vAlign w:val="center"/>
          </w:tcPr>
          <w:p w14:paraId="63497A63" w14:textId="77777777" w:rsidR="0007420D" w:rsidRDefault="00000000">
            <w:pPr>
              <w:jc w:val="right"/>
            </w:pPr>
            <w:r>
              <w:rPr>
                <w:b/>
                <w:bCs/>
                <w:color w:val="FFFFFF"/>
                <w:sz w:val="18"/>
                <w:szCs w:val="18"/>
              </w:rPr>
              <w:t>TECHNICAL SPECIFICATION SHEET</w:t>
            </w:r>
          </w:p>
          <w:p w14:paraId="14E902C8" w14:textId="77777777" w:rsidR="0007420D" w:rsidRDefault="00000000">
            <w:pPr>
              <w:jc w:val="right"/>
            </w:pPr>
            <w:r>
              <w:rPr>
                <w:color w:val="CCE5FF"/>
                <w:sz w:val="16"/>
                <w:szCs w:val="16"/>
              </w:rPr>
              <w:t>Modul: Organization Manager</w:t>
            </w:r>
          </w:p>
        </w:tc>
      </w:tr>
    </w:tbl>
    <w:p w14:paraId="3F616E32" w14:textId="77777777" w:rsidR="00A24DAD" w:rsidRDefault="00A24DAD">
      <w:pPr>
        <w:spacing w:after="100"/>
      </w:pPr>
    </w:p>
    <w:p w14:paraId="17CD4743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1. Prezentare generală</w:t>
      </w:r>
    </w:p>
    <w:p w14:paraId="393399AD" w14:textId="77777777" w:rsidR="00A24DAD" w:rsidRDefault="00000000">
      <w:pPr>
        <w:spacing w:after="80"/>
        <w:jc w:val="both"/>
      </w:pPr>
      <w:r>
        <w:rPr>
          <w:color w:val="444444"/>
        </w:rPr>
        <w:t>VOGO eBS Organization Manager administrează structura organizațională a instituției și o pune la dispoziția celorlalte componente ale suitei ca sursă unică de adevăr pentru unități, posturi, roluri și relații de subordonare. Organigrama este versionată: documentele, sarcinile și drepturile rămân legate de structura valabilă la momentul lor, iar reorganizările nu rup istoricul.</w:t>
      </w:r>
    </w:p>
    <w:p w14:paraId="62365C41" w14:textId="77777777" w:rsidR="007365EF" w:rsidRDefault="007365EF" w:rsidP="007365EF">
      <w:pPr>
        <w:spacing w:after="80"/>
        <w:jc w:val="both"/>
      </w:pPr>
      <w:r>
        <w:rPr>
          <w:color w:val="444444"/>
        </w:rPr>
        <w:t xml:space="preserve">Produs dezvoltat de VOGO TECHNOLOGY (denumire anterioară VIPTESS) parte a suitei VOGO eBS, înregistrată la ORDA în Registrul Național al Programelor pentru Calculator cu certificatul seria 478196BV nr. 13869, sub marca Uniunii Europene VOGO.me înregistrată la EUIPO cu nr. 019103505 / 15.04.2025 - </w:t>
      </w:r>
      <w:r w:rsidRPr="00F36C59">
        <w:rPr>
          <w:color w:val="444444"/>
        </w:rPr>
        <w:t>https://euipo.europa.eu/eSearch/#details/trademarks/019103505</w:t>
      </w:r>
      <w:r>
        <w:rPr>
          <w:color w:val="444444"/>
        </w:rPr>
        <w:t>.</w:t>
      </w: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306"/>
      </w:tblGrid>
      <w:tr w:rsidR="00A24DAD" w14:paraId="7D706259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1F575E" w14:textId="77777777" w:rsidR="00A24DAD" w:rsidRDefault="00000000">
            <w:r>
              <w:rPr>
                <w:b/>
                <w:bCs/>
                <w:color w:val="1B3F7F"/>
              </w:rPr>
              <w:t>Produs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67AD4E" w14:textId="77777777" w:rsidR="00A24DAD" w:rsidRDefault="00000000">
            <w:r>
              <w:rPr>
                <w:color w:val="444444"/>
              </w:rPr>
              <w:t>VOGO eBS Organization Manager</w:t>
            </w:r>
          </w:p>
        </w:tc>
      </w:tr>
      <w:tr w:rsidR="00A24DAD" w14:paraId="4CACC11E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9E871" w14:textId="77777777" w:rsidR="00A24DAD" w:rsidRDefault="00000000">
            <w:r>
              <w:rPr>
                <w:b/>
                <w:bCs/>
                <w:color w:val="1B3F7F"/>
              </w:rPr>
              <w:t>Suita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7177B" w14:textId="77777777" w:rsidR="00A24DAD" w:rsidRDefault="00000000">
            <w:r>
              <w:rPr>
                <w:color w:val="444444"/>
              </w:rPr>
              <w:t>VOGO eBS — Enterprise Business Suite</w:t>
            </w:r>
          </w:p>
        </w:tc>
      </w:tr>
      <w:tr w:rsidR="00A24DAD" w14:paraId="380BB118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98A6C" w14:textId="77777777" w:rsidR="00A24DAD" w:rsidRDefault="00000000">
            <w:r>
              <w:rPr>
                <w:b/>
                <w:bCs/>
                <w:color w:val="1B3F7F"/>
              </w:rPr>
              <w:t>Rol în suită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C001A3" w14:textId="77777777" w:rsidR="00A24DAD" w:rsidRDefault="00000000">
            <w:r>
              <w:rPr>
                <w:color w:val="444444"/>
              </w:rPr>
              <w:t>Sursa structurii organizaționale pentru ECM, BPM și componenta de identitate</w:t>
            </w:r>
          </w:p>
        </w:tc>
      </w:tr>
      <w:tr w:rsidR="00A24DAD" w14:paraId="23FAE328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5A842" w14:textId="77777777" w:rsidR="00A24DAD" w:rsidRDefault="00000000">
            <w:r>
              <w:rPr>
                <w:b/>
                <w:bCs/>
                <w:color w:val="1B3F7F"/>
              </w:rPr>
              <w:t>Administrare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64AAD8" w14:textId="77777777" w:rsidR="00A24DAD" w:rsidRDefault="00000000">
            <w:r>
              <w:rPr>
                <w:color w:val="444444"/>
              </w:rPr>
              <w:t>Editor grafic al organigramei, import XLS și XLSX</w:t>
            </w:r>
          </w:p>
        </w:tc>
      </w:tr>
      <w:tr w:rsidR="00A24DAD" w14:paraId="25A2087D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94255" w14:textId="77777777" w:rsidR="00A24DAD" w:rsidRDefault="00000000">
            <w:r>
              <w:rPr>
                <w:b/>
                <w:bCs/>
                <w:color w:val="1B3F7F"/>
              </w:rPr>
              <w:t>Versionare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A297B0" w14:textId="77777777" w:rsidR="00A24DAD" w:rsidRDefault="00000000">
            <w:r>
              <w:rPr>
                <w:color w:val="444444"/>
              </w:rPr>
              <w:t>Organigramă, unități, relații de subordonare și reorganizări, cu istoric complet</w:t>
            </w:r>
          </w:p>
        </w:tc>
      </w:tr>
      <w:tr w:rsidR="00A24DAD" w14:paraId="09B4BA3D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2C7D2C" w14:textId="77777777" w:rsidR="00A24DAD" w:rsidRDefault="00000000">
            <w:r>
              <w:rPr>
                <w:b/>
                <w:bCs/>
                <w:color w:val="1B3F7F"/>
              </w:rPr>
              <w:t>Efect asupra drepturilor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AF20D" w14:textId="77777777" w:rsidR="00A24DAD" w:rsidRDefault="00000000">
            <w:r>
              <w:rPr>
                <w:color w:val="444444"/>
              </w:rPr>
              <w:t>Recalculare controlată a drepturilor derivate din rol și poziție, cu păstrarea celor acordate explicit</w:t>
            </w:r>
          </w:p>
        </w:tc>
      </w:tr>
    </w:tbl>
    <w:p w14:paraId="75595DA5" w14:textId="77777777" w:rsidR="00A24DAD" w:rsidRDefault="00A24DAD">
      <w:pPr>
        <w:spacing w:after="100"/>
      </w:pPr>
    </w:p>
    <w:p w14:paraId="006A7895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2. Administrarea structurii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Editor grafic pentru construirea și modificarea organigramei, cu mutarea posturilor între ramuri.</w:t>
      </w:r>
    </w:p>
    <w:p w14:paraId="21204316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Import din fișiere XLS și XLSX pentru structuri existente, cu validarea consistenței înainte de publicare.</w:t>
      </w:r>
    </w:p>
    <w:p w14:paraId="6DBA660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Unități, compartimente, posturi, titulari, tipuri de entități și roluri specifice, inclusiv pentru structuri teritoriale.</w:t>
      </w:r>
    </w:p>
    <w:p w14:paraId="22E8806F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Simulare înainte de publicare: efectul unei modificări asupra drepturilor și sarcinilor este vizibil înainte de a fi aplicat.</w:t>
      </w:r>
    </w:p>
    <w:p w14:paraId="4C93DD71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Publicarea creează o versiune nouă, cu dată de intrare în vigoare; versiunile anterioare rămân consultabile.</w:t>
      </w:r>
    </w:p>
    <w:p w14:paraId="5FA31DF4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3. Versionare și reorganizări</w:t>
      </w:r>
    </w:p>
    <w:p w14:paraId="0FC0F4AF" w14:textId="77777777" w:rsidR="00A24DAD" w:rsidRDefault="00000000">
      <w:pPr>
        <w:spacing w:after="60"/>
        <w:jc w:val="both"/>
      </w:pPr>
      <w:r>
        <w:rPr>
          <w:color w:val="444444"/>
        </w:rPr>
        <w:t>Sunt versionate organigrama completă, unitățile, relațiile părinte-copil și reorganizările. Tipurile de reorganizare acoperite:</w:t>
      </w:r>
    </w:p>
    <w:p w14:paraId="78778548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Redenumire — unitatea își păstrează identitatea și istoricul.</w:t>
      </w:r>
    </w:p>
    <w:p w14:paraId="1C4125B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Divizare — o unitate se separă în mai multe, cu regula de repartizare a sarcinilor deschise.</w:t>
      </w:r>
    </w:p>
    <w:p w14:paraId="0A50185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Fuziune — mai multe unități se reunesc, cu unitatea succesoare declarată.</w:t>
      </w:r>
    </w:p>
    <w:p w14:paraId="3DC1E8E4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Transfer — o unitate trece sub altă ramură, păstrând posturile și titularii.</w:t>
      </w:r>
    </w:p>
    <w:p w14:paraId="53104A45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Succesiune — unitatea este înlocuită de alta, care preia atribuțiile.</w:t>
      </w:r>
    </w:p>
    <w:p w14:paraId="32FE11EF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Desființare — unitatea se închide, iar sarcinile deschise trec la succesorul definit.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>Documentele istorice rămân legate de structura valabilă la data lor. Sarcinile deschise ale unei structuri desființate sau reorganizate sunt transferate automat structurii succesoare, cu notificare.</w:t>
      </w:r>
    </w:p>
    <w:p w14:paraId="7CCB4C73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4. Roluri, drepturi și delegare</w:t>
      </w:r>
    </w:p>
    <w:p w14:paraId="1E40C77F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lastRenderedPageBreak/>
        <w:t xml:space="preserve">▸  </w:t>
      </w:r>
      <w:r>
        <w:rPr>
          <w:color w:val="444444"/>
        </w:rPr>
        <w:t>Rolurile utilizatorilor sunt corelate cu poziția în organigramă; drepturile derivate din rol și poziție se recalculează la fiecare publicare de versiune.</w:t>
      </w:r>
    </w:p>
    <w:p w14:paraId="36322662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Drepturile acordate explicit unui utilizator nu sunt pierdute la recalculare, iar istoricul acordărilor și revocărilor se păstrează.</w:t>
      </w:r>
    </w:p>
    <w:p w14:paraId="3CF74FE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Delegarea transferă temporar responsabilități fără schimbarea titularului și este limitată prin perioadă, obiect și audit.</w:t>
      </w:r>
    </w:p>
    <w:p w14:paraId="76C008C8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Escaladarea și înlocuirea urmează relațiile de subordonare din versiunea curentă, fără a fi scrise în procese.</w:t>
      </w:r>
    </w:p>
    <w:p w14:paraId="401DDAA4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5. Integrare cu celelalte componente</w:t>
      </w: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306"/>
      </w:tblGrid>
      <w:tr w:rsidR="00A24DAD" w14:paraId="02047F12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99454" w14:textId="77777777" w:rsidR="00A24DAD" w:rsidRDefault="00000000">
            <w:r>
              <w:rPr>
                <w:b/>
                <w:bCs/>
                <w:color w:val="1B3F7F"/>
              </w:rPr>
              <w:t>Componenta de identitate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C30B0" w14:textId="77777777" w:rsidR="00A24DAD" w:rsidRDefault="00000000">
            <w:r>
              <w:rPr>
                <w:color w:val="444444"/>
              </w:rPr>
              <w:t>Corelarea conturilor și a grupurilor cu posturile și unitățile organizaționale</w:t>
            </w:r>
          </w:p>
        </w:tc>
      </w:tr>
      <w:tr w:rsidR="00A24DAD" w14:paraId="700287E8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8B92AF" w14:textId="77777777" w:rsidR="00A24DAD" w:rsidRDefault="00000000">
            <w:r>
              <w:rPr>
                <w:b/>
                <w:bCs/>
                <w:color w:val="1B3F7F"/>
              </w:rPr>
              <w:t>VOGO eBS ECM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86FF71" w14:textId="77777777" w:rsidR="00A24DAD" w:rsidRDefault="00000000">
            <w:r>
              <w:rPr>
                <w:color w:val="444444"/>
              </w:rPr>
              <w:t>Structura pentru registratură, repartizări, drepturi pe documente și metadate precompletate</w:t>
            </w:r>
          </w:p>
        </w:tc>
      </w:tr>
      <w:tr w:rsidR="00A24DAD" w14:paraId="73F8409E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24B1AA" w14:textId="77777777" w:rsidR="00A24DAD" w:rsidRDefault="00000000">
            <w:r>
              <w:rPr>
                <w:b/>
                <w:bCs/>
                <w:color w:val="1B3F7F"/>
              </w:rPr>
              <w:t>VOGO eBS BPM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C08D45" w14:textId="77777777" w:rsidR="00A24DAD" w:rsidRDefault="00000000">
            <w:r>
              <w:rPr>
                <w:color w:val="444444"/>
              </w:rPr>
              <w:t>Roluri și structuri pentru alocarea, delegarea și escaladarea sarcinilor; procesele nu conțin nume de persoane</w:t>
            </w:r>
          </w:p>
        </w:tc>
      </w:tr>
      <w:tr w:rsidR="00A24DAD" w14:paraId="3DBECD47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3E237" w14:textId="77777777" w:rsidR="00A24DAD" w:rsidRDefault="00000000">
            <w:r>
              <w:rPr>
                <w:b/>
                <w:bCs/>
                <w:color w:val="1B3F7F"/>
              </w:rPr>
              <w:t>Portal și aplicații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9A1259" w14:textId="77777777" w:rsidR="00A24DAD" w:rsidRDefault="00000000">
            <w:r>
              <w:rPr>
                <w:color w:val="444444"/>
              </w:rPr>
              <w:t>Afișarea structurii, a titularilor și a datelor de contact, cu respectarea drepturilor</w:t>
            </w:r>
          </w:p>
        </w:tc>
      </w:tr>
    </w:tbl>
    <w:p w14:paraId="5BD5FAD4" w14:textId="77777777" w:rsidR="00A24DAD" w:rsidRDefault="00A24DAD">
      <w:pPr>
        <w:spacing w:after="100"/>
      </w:pPr>
    </w:p>
    <w:p w14:paraId="3B046F48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  6. Audit și conformitate</w:t>
      </w:r>
    </w:p>
    <w:p w14:paraId="342DF5F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Fiecare modificare a structurii este jurnalizată: autorul, momentul, versiunea anterioară și cea publicată.</w:t>
      </w:r>
    </w:p>
    <w:p w14:paraId="6241281E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Efectul asupra drepturilor este consemnat odată cu publicarea, astfel încât o modificare de acces poate fi explicată prin decizia organizațională care a produs-o.</w:t>
      </w:r>
    </w:p>
    <w:p w14:paraId="78ACF39E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Exportul structurii și al istoricului este disponibil pentru audit intern și extern.</w:t>
      </w:r>
    </w:p>
    <w:p w14:paraId="006A7895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7. Funcționalitățile în aplicație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 xml:space="preserve">Organigrama se administrează în ecranul Organigramă al platformei, cu versiuni publicate de la o dată aleasă.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 xml:space="preserve">Vizualizare: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Organigrama se vede ca diagramă sau ca listă, cu căutare după compartiment sau cod, zoom, încadrare în ecran și extinderea sau restrângerea ramurilor.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Indicatorii ecranului arată numărul compartimentelor, al direcțiilor și al posturilor ocupate.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 xml:space="preserve">Structuri, posturi și încadrări: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Tipurile de structuri se definesc de instituție; compartimentele au tip, cod și denumire.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Posturile au funcția, categoria, norma și marcajul postului de conducere: cel încadrat pe el este conducătorul compartimentului.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Angajații se încadrează pe posturi prin căutare după nume sau marcă.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 xml:space="preserve">Draft și publicare: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Modificările se fac într-un draft, fără efect până la publicare; draftul se poate abandona oricând.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Publicarea face draftul versiunea în vigoare de la data aleasă, iar versiunea anterioară rămâne în istoric, valabilă până în ziua dinainte.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Documentele și înregistrările păstrează compartimentul valabil la data lor; formularele oferă structurile versiunii curente.</w:t>
      </w:r>
    </w:p>
    <w:p w14:paraId="5802C1A2" w14:textId="77777777" w:rsidR="00A24DAD" w:rsidRDefault="00000000">
      <w:pPr>
        <w:spacing w:after="60"/>
        <w:jc w:val="both"/>
      </w:pPr>
      <w:r>
        <w:rPr>
          <w:color w:val="444444"/>
        </w:rPr>
        <w:t xml:space="preserve">Folosirea în platformă: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Registratura folosește compartimentele pentru expeditor, destinatar și repartizare.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Fluxurile de lucru repartizează sarcini pe structuri, pe posturi, șefului unei structuri sau membrilor ei.</w:t>
      </w:r>
    </w:p>
    <w:p w14:paraId="0FA0A68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Agenții AI care propun procese folosesc structurile și posturile reale ale organizației.</w:t>
      </w:r>
    </w:p>
    <w:p w14:paraId="1E0AE3BF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8. Livrare, suport și operare</w:t>
      </w:r>
    </w:p>
    <w:p w14:paraId="22CFC6DE" w14:textId="77777777" w:rsidR="00A24DAD" w:rsidRDefault="00000000">
      <w:pPr>
        <w:spacing w:after="80"/>
        <w:jc w:val="both"/>
      </w:pPr>
      <w:r>
        <w:rPr>
          <w:color w:val="444444"/>
        </w:rPr>
        <w:t>VOGO livrează și integrează componenta, configurațiile, imaginile de container și documentația de administrare, împreună cu procedurile de import inițial al structurii și de promovare între medii.</w:t>
      </w:r>
    </w:p>
    <w:p w14:paraId="180CFA22" w14:textId="77777777" w:rsidR="00A24DAD" w:rsidRDefault="00000000">
      <w:pPr>
        <w:spacing w:after="80"/>
        <w:jc w:val="both"/>
      </w:pPr>
      <w:r>
        <w:rPr>
          <w:color w:val="444444"/>
        </w:rPr>
        <w:t>Modelul de suport operațional este asigurat de VOGO pe întreaga perioadă de implementare și de garanție — instalare, configurare, actualizări de securitate, remedierea incidentelor, documentare, compatibilitate cu infrastructura beneficiarului și transfer operațional. Absența costului de licență pentru componentele open-source integrate nu diminuează niciuna dintre aceste obligații.</w:t>
      </w:r>
    </w:p>
    <w:p w14:paraId="44E4A8C4" w14:textId="77777777" w:rsidR="00A24DAD" w:rsidRDefault="00000000">
      <w:pPr>
        <w:shd w:val="clear" w:color="auto" w:fill="1B3F7F"/>
        <w:spacing w:before="320" w:after="120"/>
      </w:pPr>
      <w:r>
        <w:rPr>
          <w:b/>
          <w:bCs/>
          <w:color w:val="FFFFFF"/>
          <w:sz w:val="24"/>
          <w:szCs w:val="24"/>
        </w:rPr>
        <w:t xml:space="preserve">9. Suport enterprise</w:t>
      </w:r>
    </w:p>
    <w:p w14:paraId="132B4CCF" w14:textId="77777777" w:rsidR="00A24DAD" w:rsidRDefault="00000000">
      <w:pPr>
        <w:spacing w:after="80"/>
        <w:jc w:val="both"/>
      </w:pPr>
      <w:r>
        <w:rPr>
          <w:color w:val="444444"/>
        </w:rPr>
        <w:t>Suportul pentru VOGO eBS Organization Manager este un serviciu enterprise asigurat de Ofertant pentru întreaga stivă livrată, inclusiv pentru componentele open-source integrate, pe toată perioada de implementare și de garanție. Beneficiarul are un singur punct de contact pentru toate componentele produsului, indiferent de originea lor.</w:t>
      </w:r>
    </w:p>
    <w:tbl>
      <w:tblPr>
        <w:tblW w:w="10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306"/>
      </w:tblGrid>
      <w:tr w:rsidR="00A24DAD" w14:paraId="26B448CD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E605C" w14:textId="77777777" w:rsidR="00A24DAD" w:rsidRDefault="00000000">
            <w:r>
              <w:rPr>
                <w:b/>
                <w:bCs/>
                <w:color w:val="1B3F7F"/>
              </w:rPr>
              <w:t>Disponibilitate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33AE59" w14:textId="77777777" w:rsidR="00A24DAD" w:rsidRDefault="00000000">
            <w:r>
              <w:rPr>
                <w:color w:val="444444"/>
              </w:rPr>
              <w:t>24 × 7 × 365, pentru incidentele critice; program extins pentru solicitările de nivel funcțional</w:t>
            </w:r>
          </w:p>
        </w:tc>
      </w:tr>
      <w:tr w:rsidR="00A24DAD" w14:paraId="40EECB0D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9AA59" w14:textId="77777777" w:rsidR="00A24DAD" w:rsidRDefault="00000000">
            <w:r>
              <w:rPr>
                <w:b/>
                <w:bCs/>
                <w:color w:val="1B3F7F"/>
              </w:rPr>
              <w:t>Call center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E91C48" w14:textId="77777777" w:rsidR="00A24DAD" w:rsidRDefault="00000000">
            <w:r>
              <w:rPr>
                <w:color w:val="444444"/>
              </w:rPr>
              <w:t>Punct unic de contact telefonic și prin e-mail, în limba română, cu preluare și înregistrare a fiecărei solicitări</w:t>
            </w:r>
          </w:p>
        </w:tc>
      </w:tr>
      <w:tr w:rsidR="00A24DAD" w14:paraId="36D6D633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083D9" w14:textId="77777777" w:rsidR="00A24DAD" w:rsidRDefault="00000000">
            <w:r>
              <w:rPr>
                <w:b/>
                <w:bCs/>
                <w:color w:val="1B3F7F"/>
              </w:rPr>
              <w:t>Ticketing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ED24E" w14:textId="77777777" w:rsidR="00A24DAD" w:rsidRDefault="00000000">
            <w:r>
              <w:rPr>
                <w:color w:val="444444"/>
              </w:rPr>
              <w:t>Sistem de ticketing pus la dispoziția beneficiarului, cu portal web, înregistrare, clasificare, urmărire, istoric complet și rapoarte periodice</w:t>
            </w:r>
          </w:p>
        </w:tc>
      </w:tr>
      <w:tr w:rsidR="00A24DAD" w14:paraId="1445FDF5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43087" w14:textId="77777777" w:rsidR="00A24DAD" w:rsidRDefault="00000000">
            <w:r>
              <w:rPr>
                <w:b/>
                <w:bCs/>
                <w:color w:val="1B3F7F"/>
              </w:rPr>
              <w:t>Niveluri de suport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68841" w14:textId="77777777" w:rsidR="00A24DAD" w:rsidRDefault="00000000">
            <w:r>
              <w:rPr>
                <w:color w:val="444444"/>
              </w:rPr>
              <w:t>Nivel 1 în call center, nivel 2 tehnic pe produs, nivel 3 la echipa de dezvoltare a Ofertantului, cu escaladare automată pe severitate</w:t>
            </w:r>
          </w:p>
        </w:tc>
      </w:tr>
      <w:tr w:rsidR="00A24DAD" w14:paraId="25C394D0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2C5966" w14:textId="77777777" w:rsidR="00A24DAD" w:rsidRDefault="00000000">
            <w:r>
              <w:rPr>
                <w:b/>
                <w:bCs/>
                <w:color w:val="1B3F7F"/>
              </w:rPr>
              <w:lastRenderedPageBreak/>
              <w:t>Acord de nivel al serviciului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E7D24" w14:textId="77777777" w:rsidR="00A24DAD" w:rsidRDefault="00000000">
            <w:r>
              <w:rPr>
                <w:color w:val="444444"/>
              </w:rPr>
              <w:t>Timpi de răspuns și de restabilire asumați pe clase de severitate, conform nivelurilor din contract</w:t>
            </w:r>
          </w:p>
        </w:tc>
      </w:tr>
      <w:tr w:rsidR="00A24DAD" w14:paraId="0FDC377D" w14:textId="77777777">
        <w:tc>
          <w:tcPr>
            <w:tcW w:w="300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EEF3F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30B505" w14:textId="77777777" w:rsidR="00A24DAD" w:rsidRDefault="00000000">
            <w:r>
              <w:rPr>
                <w:b/>
                <w:bCs/>
                <w:color w:val="1B3F7F"/>
              </w:rPr>
              <w:t>Acoperire</w:t>
            </w:r>
          </w:p>
        </w:tc>
        <w:tc>
          <w:tcPr>
            <w:tcW w:w="7306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D6943" w14:textId="77777777" w:rsidR="00A24DAD" w:rsidRDefault="00000000">
            <w:r>
              <w:rPr>
                <w:color w:val="444444"/>
              </w:rPr>
              <w:t>Produsul, modulele sale și componentele open-source integrate; absența costului de licență nu diminuează niciuna dintre obligațiile de suport</w:t>
            </w:r>
          </w:p>
        </w:tc>
      </w:tr>
    </w:tbl>
    <w:p w14:paraId="0E496B8A" w14:textId="77777777" w:rsidR="00A24DAD" w:rsidRDefault="00A24DAD">
      <w:pPr>
        <w:spacing w:after="100"/>
      </w:pPr>
    </w:p>
    <w:p w14:paraId="31AF384B" w14:textId="77777777" w:rsidR="00A24DAD" w:rsidRDefault="00000000">
      <w:pPr>
        <w:spacing w:after="80"/>
        <w:jc w:val="both"/>
      </w:pPr>
      <w:r>
        <w:rPr>
          <w:color w:val="444444"/>
        </w:rPr>
        <w:t>Serviciul include, fără costuri suplimentare pe perioada acoperită:</w:t>
      </w:r>
    </w:p>
    <w:p w14:paraId="2A0F60B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Preluarea, clasificarea și soluționarea incidentelor, cu notificarea beneficiarului la fiecare schimbare de stare.</w:t>
      </w:r>
    </w:p>
    <w:p w14:paraId="2AFD897F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Actualizări de securitate și corecții de defecte, testate de Ofertant și livrate cu note de versiune și procedură de aplicare.</w:t>
      </w:r>
    </w:p>
    <w:p w14:paraId="5B909823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Mentenanță preventivă, verificări periodice de stare și recomandări de optimizare a configurației.</w:t>
      </w:r>
    </w:p>
    <w:p w14:paraId="55297019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Asistență la operațiunile planificate: actualizări de versiune, migrări, extinderi de capacitate, exerciții de restaurare.</w:t>
      </w:r>
    </w:p>
    <w:p w14:paraId="31BE52D0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Documentație de administrare și operare, actualizată la fiecare versiune livrată.</w:t>
      </w:r>
    </w:p>
    <w:p w14:paraId="6D7BC655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Instruirea administratorilor beneficiarului și transfer operațional la finalul perioadei de garanție.</w:t>
      </w:r>
    </w:p>
    <w:p w14:paraId="4074A3BD" w14:textId="77777777" w:rsidR="00A24DAD" w:rsidRDefault="00000000">
      <w:pPr>
        <w:spacing w:after="60"/>
        <w:jc w:val="both"/>
      </w:pPr>
      <w:r>
        <w:rPr>
          <w:b/>
          <w:bCs/>
          <w:color w:val="0070C0"/>
        </w:rPr>
        <w:t xml:space="preserve">▸  </w:t>
      </w:r>
      <w:r>
        <w:rPr>
          <w:color w:val="444444"/>
        </w:rPr>
        <w:t>Rapoarte periodice de disponibilitate, incidente, timpi de soluționare și acțiuni corective.</w:t>
      </w:r>
    </w:p>
    <w:sectPr w:rsidR="00A24DAD">
      <w:footerReference w:type="default" r:id="rId7"/>
      <w:pgSz w:w="11906" w:h="16838"/>
      <w:pgMar w:top="720" w:right="800" w:bottom="72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2782" w14:textId="77777777" w:rsidR="004D3E16" w:rsidRDefault="004D3E16" w:rsidP="00E62744">
      <w:r>
        <w:separator/>
      </w:r>
    </w:p>
  </w:endnote>
  <w:endnote w:type="continuationSeparator" w:id="0">
    <w:p w14:paraId="2D95EE84" w14:textId="77777777" w:rsidR="004D3E16" w:rsidRDefault="004D3E16" w:rsidP="00E6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E1F53" w14:textId="77777777" w:rsidR="00E62744" w:rsidRDefault="00E62744" w:rsidP="00E62744">
    <w:pPr>
      <w:pBdr>
        <w:top w:val="single" w:sz="6" w:space="0" w:color="DDDDDD"/>
      </w:pBdr>
      <w:tabs>
        <w:tab w:val="right" w:pos="10306"/>
      </w:tabs>
      <w:spacing w:before="160"/>
    </w:pPr>
    <w:r>
      <w:rPr>
        <w:b/>
        <w:bCs/>
        <w:color w:val="0070C0"/>
        <w:sz w:val="18"/>
        <w:szCs w:val="18"/>
      </w:rPr>
      <w:t>vogo.me/ebs</w:t>
    </w:r>
    <w:r>
      <w:tab/>
    </w:r>
    <w:r>
      <w:rPr>
        <w:b/>
        <w:bCs/>
        <w:color w:val="1B3F7F"/>
        <w:sz w:val="18"/>
        <w:szCs w:val="18"/>
      </w:rPr>
      <w:t>Transform. Integrate. Succeed.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61080" w14:textId="77777777" w:rsidR="004D3E16" w:rsidRDefault="004D3E16" w:rsidP="00E62744">
      <w:r>
        <w:separator/>
      </w:r>
    </w:p>
  </w:footnote>
  <w:footnote w:type="continuationSeparator" w:id="0">
    <w:p w14:paraId="321C5433" w14:textId="77777777" w:rsidR="004D3E16" w:rsidRDefault="004D3E16" w:rsidP="00E627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0665B"/>
    <w:multiLevelType w:val="hybridMultilevel"/>
    <w:tmpl w:val="EECCBB92"/>
    <w:lvl w:ilvl="0" w:tplc="614069AE">
      <w:start w:val="1"/>
      <w:numFmt w:val="bullet"/>
      <w:lvlText w:val="●"/>
      <w:lvlJc w:val="left"/>
      <w:pPr>
        <w:ind w:left="720" w:hanging="360"/>
      </w:pPr>
    </w:lvl>
    <w:lvl w:ilvl="1" w:tplc="DA8CE600">
      <w:start w:val="1"/>
      <w:numFmt w:val="bullet"/>
      <w:lvlText w:val="○"/>
      <w:lvlJc w:val="left"/>
      <w:pPr>
        <w:ind w:left="1440" w:hanging="360"/>
      </w:pPr>
    </w:lvl>
    <w:lvl w:ilvl="2" w:tplc="0EF8AAAE">
      <w:start w:val="1"/>
      <w:numFmt w:val="bullet"/>
      <w:lvlText w:val="■"/>
      <w:lvlJc w:val="left"/>
      <w:pPr>
        <w:ind w:left="2160" w:hanging="360"/>
      </w:pPr>
    </w:lvl>
    <w:lvl w:ilvl="3" w:tplc="68DAE486">
      <w:start w:val="1"/>
      <w:numFmt w:val="bullet"/>
      <w:lvlText w:val="●"/>
      <w:lvlJc w:val="left"/>
      <w:pPr>
        <w:ind w:left="2880" w:hanging="360"/>
      </w:pPr>
    </w:lvl>
    <w:lvl w:ilvl="4" w:tplc="705E5CAE">
      <w:start w:val="1"/>
      <w:numFmt w:val="bullet"/>
      <w:lvlText w:val="○"/>
      <w:lvlJc w:val="left"/>
      <w:pPr>
        <w:ind w:left="3600" w:hanging="360"/>
      </w:pPr>
    </w:lvl>
    <w:lvl w:ilvl="5" w:tplc="EECEF336">
      <w:start w:val="1"/>
      <w:numFmt w:val="bullet"/>
      <w:lvlText w:val="■"/>
      <w:lvlJc w:val="left"/>
      <w:pPr>
        <w:ind w:left="4320" w:hanging="360"/>
      </w:pPr>
    </w:lvl>
    <w:lvl w:ilvl="6" w:tplc="F7E0E422">
      <w:start w:val="1"/>
      <w:numFmt w:val="bullet"/>
      <w:lvlText w:val="●"/>
      <w:lvlJc w:val="left"/>
      <w:pPr>
        <w:ind w:left="5040" w:hanging="360"/>
      </w:pPr>
    </w:lvl>
    <w:lvl w:ilvl="7" w:tplc="88C4533A">
      <w:start w:val="1"/>
      <w:numFmt w:val="bullet"/>
      <w:lvlText w:val="●"/>
      <w:lvlJc w:val="left"/>
      <w:pPr>
        <w:ind w:left="5760" w:hanging="360"/>
      </w:pPr>
    </w:lvl>
    <w:lvl w:ilvl="8" w:tplc="719007C8">
      <w:start w:val="1"/>
      <w:numFmt w:val="bullet"/>
      <w:lvlText w:val="●"/>
      <w:lvlJc w:val="left"/>
      <w:pPr>
        <w:ind w:left="6480" w:hanging="360"/>
      </w:pPr>
    </w:lvl>
  </w:abstractNum>
  <w:num w:numId="1" w16cid:durableId="9067619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20D"/>
    <w:rsid w:val="00003DB7"/>
    <w:rsid w:val="0007420D"/>
    <w:rsid w:val="000A2A04"/>
    <w:rsid w:val="002418B7"/>
    <w:rsid w:val="002705F3"/>
    <w:rsid w:val="004D3E16"/>
    <w:rsid w:val="007365EF"/>
    <w:rsid w:val="0077331D"/>
    <w:rsid w:val="00966BC0"/>
    <w:rsid w:val="009F0604"/>
    <w:rsid w:val="009F4D09"/>
    <w:rsid w:val="00A24DAD"/>
    <w:rsid w:val="00AA0AB3"/>
    <w:rsid w:val="00B60090"/>
    <w:rsid w:val="00D03CB4"/>
    <w:rsid w:val="00DB1033"/>
    <w:rsid w:val="00E62744"/>
    <w:rsid w:val="00F3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39F9F"/>
  <w15:docId w15:val="{97970901-7475-451A-952E-FFCA3A5E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604"/>
    <w:pPr>
      <w:spacing w:line="288" w:lineRule="auto"/>
    </w:pPr>
    <w:rPr>
      <w:rFonts w:ascii="Arial" w:eastAsia="Arial" w:hAnsi="Arial" w:cs="Arial"/>
      <w:noProof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27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744"/>
  </w:style>
  <w:style w:type="paragraph" w:styleId="Footer">
    <w:name w:val="footer"/>
    <w:basedOn w:val="Normal"/>
    <w:link w:val="FooterChar"/>
    <w:uiPriority w:val="99"/>
    <w:unhideWhenUsed/>
    <w:rsid w:val="00E627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7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17</cp:revision>
  <dcterms:created xsi:type="dcterms:W3CDTF">2026-05-28T16:43:00Z</dcterms:created>
  <dcterms:modified xsi:type="dcterms:W3CDTF">2026-09-13T04:52:00Z</dcterms:modified>
</cp:coreProperties>
</file>